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BE262E">
      <w:pPr>
        <w:rPr>
          <w:rFonts w:hint="eastAsia" w:ascii="宋体" w:hAnsi="宋体"/>
          <w:sz w:val="28"/>
          <w:szCs w:val="28"/>
        </w:rPr>
      </w:pPr>
      <w:r>
        <w:rPr>
          <w:rFonts w:hint="eastAsia" w:ascii="宋体" w:hAnsi="宋体"/>
          <w:sz w:val="28"/>
          <w:szCs w:val="28"/>
        </w:rPr>
        <w:t>附件1：</w:t>
      </w:r>
    </w:p>
    <w:p w14:paraId="37CB8A4E">
      <w:pPr>
        <w:rPr>
          <w:rFonts w:hint="eastAsia" w:ascii="仿宋" w:hAnsi="仿宋" w:eastAsia="仿宋"/>
        </w:rPr>
      </w:pPr>
    </w:p>
    <w:p w14:paraId="168592C7">
      <w:pPr>
        <w:rPr>
          <w:rFonts w:hint="eastAsia" w:ascii="仿宋" w:hAnsi="仿宋" w:eastAsia="仿宋"/>
        </w:rPr>
      </w:pPr>
    </w:p>
    <w:p w14:paraId="1D5C97DD">
      <w:pPr>
        <w:jc w:val="center"/>
        <w:rPr>
          <w:rFonts w:ascii="仿宋" w:hAnsi="仿宋" w:eastAsia="仿宋" w:cs="Arial"/>
          <w:sz w:val="44"/>
          <w:szCs w:val="44"/>
        </w:rPr>
      </w:pPr>
    </w:p>
    <w:p w14:paraId="043ABC46">
      <w:pPr>
        <w:jc w:val="center"/>
        <w:rPr>
          <w:rFonts w:ascii="仿宋" w:hAnsi="仿宋" w:eastAsia="仿宋" w:cs="Arial"/>
          <w:sz w:val="44"/>
          <w:szCs w:val="44"/>
        </w:rPr>
      </w:pPr>
    </w:p>
    <w:p w14:paraId="5C558BBD">
      <w:pPr>
        <w:jc w:val="center"/>
        <w:rPr>
          <w:rFonts w:ascii="仿宋" w:hAnsi="仿宋" w:eastAsia="仿宋" w:cs="Arial"/>
          <w:sz w:val="44"/>
          <w:szCs w:val="44"/>
        </w:rPr>
      </w:pPr>
    </w:p>
    <w:p w14:paraId="58DEC858">
      <w:pPr>
        <w:jc w:val="center"/>
        <w:rPr>
          <w:rFonts w:ascii="仿宋" w:hAnsi="仿宋" w:eastAsia="仿宋" w:cs="Arial"/>
          <w:sz w:val="44"/>
          <w:szCs w:val="44"/>
        </w:rPr>
      </w:pPr>
    </w:p>
    <w:p w14:paraId="75B8CD61">
      <w:pPr>
        <w:jc w:val="center"/>
        <w:rPr>
          <w:rFonts w:hint="eastAsia" w:ascii="宋体" w:hAnsi="宋体" w:eastAsia="方正小标宋简体" w:cs="Arial"/>
          <w:sz w:val="44"/>
          <w:szCs w:val="44"/>
        </w:rPr>
      </w:pPr>
      <w:r>
        <w:rPr>
          <w:rFonts w:hint="eastAsia" w:ascii="宋体" w:hAnsi="宋体" w:eastAsia="方正小标宋简体" w:cs="Arial"/>
          <w:sz w:val="44"/>
          <w:szCs w:val="44"/>
        </w:rPr>
        <w:t>2024年度</w:t>
      </w:r>
    </w:p>
    <w:p w14:paraId="4DABF447">
      <w:pPr>
        <w:jc w:val="center"/>
        <w:rPr>
          <w:rFonts w:hint="eastAsia" w:ascii="宋体" w:hAnsi="宋体" w:eastAsia="方正小标宋简体" w:cs="Arial"/>
        </w:rPr>
      </w:pPr>
    </w:p>
    <w:p w14:paraId="58C73350">
      <w:pPr>
        <w:jc w:val="center"/>
        <w:rPr>
          <w:rFonts w:hint="eastAsia" w:ascii="黑体" w:hAnsi="黑体" w:eastAsia="黑体"/>
          <w:sz w:val="44"/>
          <w:szCs w:val="44"/>
        </w:rPr>
      </w:pPr>
      <w:r>
        <w:rPr>
          <w:rFonts w:hint="eastAsia" w:ascii="黑体" w:hAnsi="黑体" w:eastAsia="黑体" w:cs="黑体"/>
          <w:sz w:val="44"/>
          <w:szCs w:val="44"/>
        </w:rPr>
        <w:t>榆树市职业技术教育中心</w:t>
      </w:r>
      <w:r>
        <w:rPr>
          <w:rFonts w:ascii="黑体" w:hAnsi="黑体" w:eastAsia="黑体"/>
          <w:sz w:val="44"/>
          <w:szCs w:val="44"/>
        </w:rPr>
        <w:t>部门决算</w:t>
      </w:r>
    </w:p>
    <w:p w14:paraId="6D087700">
      <w:pPr>
        <w:jc w:val="center"/>
        <w:rPr>
          <w:rFonts w:ascii="仿宋" w:hAnsi="仿宋" w:eastAsia="仿宋" w:cs="Arial"/>
          <w:sz w:val="44"/>
          <w:szCs w:val="44"/>
        </w:rPr>
      </w:pPr>
    </w:p>
    <w:p w14:paraId="78CA2D43">
      <w:pPr>
        <w:jc w:val="center"/>
        <w:rPr>
          <w:rFonts w:ascii="仿宋" w:hAnsi="仿宋" w:eastAsia="仿宋" w:cs="Arial"/>
          <w:sz w:val="44"/>
          <w:szCs w:val="44"/>
        </w:rPr>
      </w:pPr>
    </w:p>
    <w:p w14:paraId="7F3763B0">
      <w:pPr>
        <w:jc w:val="center"/>
        <w:rPr>
          <w:rFonts w:ascii="仿宋" w:hAnsi="仿宋" w:eastAsia="仿宋" w:cs="Arial"/>
          <w:sz w:val="44"/>
          <w:szCs w:val="44"/>
        </w:rPr>
      </w:pPr>
    </w:p>
    <w:p w14:paraId="0AF85CFD">
      <w:pPr>
        <w:jc w:val="center"/>
        <w:rPr>
          <w:rFonts w:ascii="仿宋" w:hAnsi="仿宋" w:eastAsia="仿宋" w:cs="Arial"/>
          <w:sz w:val="44"/>
          <w:szCs w:val="44"/>
        </w:rPr>
      </w:pPr>
    </w:p>
    <w:p w14:paraId="751407BC">
      <w:pPr>
        <w:jc w:val="center"/>
        <w:rPr>
          <w:rFonts w:ascii="仿宋" w:hAnsi="仿宋" w:eastAsia="仿宋" w:cs="Arial"/>
          <w:sz w:val="44"/>
          <w:szCs w:val="44"/>
        </w:rPr>
      </w:pPr>
    </w:p>
    <w:p w14:paraId="1C79AF7C">
      <w:pPr>
        <w:jc w:val="center"/>
        <w:rPr>
          <w:rFonts w:ascii="仿宋" w:hAnsi="仿宋" w:eastAsia="仿宋" w:cs="Arial"/>
          <w:sz w:val="44"/>
          <w:szCs w:val="44"/>
        </w:rPr>
      </w:pPr>
    </w:p>
    <w:p w14:paraId="034DE904">
      <w:pPr>
        <w:jc w:val="center"/>
        <w:rPr>
          <w:rFonts w:ascii="宋体" w:hAnsi="宋体" w:eastAsia="仿宋" w:cs="Arial"/>
          <w:sz w:val="32"/>
          <w:szCs w:val="32"/>
        </w:rPr>
      </w:pPr>
      <w:r>
        <w:rPr>
          <w:rFonts w:ascii="宋体" w:hAnsi="宋体" w:eastAsia="仿宋" w:cs="Arial"/>
          <w:sz w:val="32"/>
          <w:szCs w:val="32"/>
        </w:rPr>
        <w:t>202</w:t>
      </w:r>
      <w:r>
        <w:rPr>
          <w:rFonts w:hint="eastAsia" w:ascii="宋体" w:hAnsi="宋体" w:eastAsia="仿宋" w:cs="Arial"/>
          <w:sz w:val="32"/>
          <w:szCs w:val="32"/>
        </w:rPr>
        <w:t>5年 10 月  10 日</w:t>
      </w:r>
    </w:p>
    <w:p w14:paraId="5EF0DE12">
      <w:pPr>
        <w:jc w:val="center"/>
        <w:rPr>
          <w:rFonts w:ascii="宋体" w:hAnsi="宋体" w:eastAsia="仿宋" w:cs="Arial"/>
          <w:sz w:val="44"/>
          <w:szCs w:val="44"/>
        </w:rPr>
      </w:pPr>
    </w:p>
    <w:p w14:paraId="59844B68">
      <w:pPr>
        <w:jc w:val="center"/>
        <w:rPr>
          <w:rFonts w:ascii="仿宋" w:hAnsi="仿宋" w:eastAsia="仿宋" w:cs="Arial"/>
          <w:sz w:val="44"/>
          <w:szCs w:val="44"/>
        </w:rPr>
      </w:pPr>
    </w:p>
    <w:p w14:paraId="434DB0B8">
      <w:pPr>
        <w:jc w:val="center"/>
        <w:rPr>
          <w:rFonts w:ascii="仿宋" w:hAnsi="仿宋" w:eastAsia="仿宋" w:cs="Arial"/>
          <w:sz w:val="44"/>
          <w:szCs w:val="44"/>
        </w:rPr>
      </w:pPr>
    </w:p>
    <w:p w14:paraId="168157D1">
      <w:pPr>
        <w:jc w:val="center"/>
        <w:rPr>
          <w:rFonts w:ascii="仿宋" w:hAnsi="仿宋" w:eastAsia="仿宋"/>
          <w:sz w:val="32"/>
        </w:rPr>
      </w:pPr>
    </w:p>
    <w:p w14:paraId="7B129FA6">
      <w:pPr>
        <w:jc w:val="center"/>
        <w:rPr>
          <w:rFonts w:hint="eastAsia" w:ascii="仿宋" w:hAnsi="仿宋" w:eastAsia="仿宋"/>
          <w:sz w:val="32"/>
        </w:rPr>
      </w:pPr>
    </w:p>
    <w:p w14:paraId="1483A263">
      <w:pPr>
        <w:jc w:val="center"/>
        <w:rPr>
          <w:rFonts w:hint="eastAsia" w:ascii="宋体" w:hAnsi="宋体" w:eastAsia="仿宋"/>
          <w:sz w:val="44"/>
        </w:rPr>
      </w:pPr>
    </w:p>
    <w:p w14:paraId="18F965D7">
      <w:pPr>
        <w:jc w:val="center"/>
        <w:rPr>
          <w:rFonts w:hint="eastAsia" w:ascii="宋体" w:hAnsi="宋体" w:eastAsia="仿宋"/>
          <w:sz w:val="44"/>
        </w:rPr>
      </w:pPr>
      <w:r>
        <w:rPr>
          <w:rFonts w:hint="eastAsia" w:ascii="宋体" w:hAnsi="宋体" w:eastAsia="仿宋"/>
          <w:sz w:val="44"/>
        </w:rPr>
        <w:t>目   录</w:t>
      </w:r>
    </w:p>
    <w:p w14:paraId="32C4B396">
      <w:pPr>
        <w:rPr>
          <w:rFonts w:hint="eastAsia" w:ascii="宋体" w:hAnsi="宋体" w:eastAsia="仿宋"/>
          <w:sz w:val="32"/>
        </w:rPr>
      </w:pPr>
    </w:p>
    <w:p w14:paraId="3F2A4A19">
      <w:pPr>
        <w:rPr>
          <w:rFonts w:hint="eastAsia" w:ascii="宋体" w:hAnsi="宋体" w:eastAsia="仿宋"/>
          <w:b/>
          <w:sz w:val="32"/>
        </w:rPr>
      </w:pPr>
      <w:r>
        <w:rPr>
          <w:rFonts w:hint="eastAsia" w:ascii="宋体" w:hAnsi="宋体" w:eastAsia="仿宋"/>
          <w:b/>
          <w:sz w:val="32"/>
        </w:rPr>
        <w:t>第一部分  部门概况</w:t>
      </w:r>
    </w:p>
    <w:p w14:paraId="54697B4B">
      <w:pPr>
        <w:rPr>
          <w:rFonts w:hint="eastAsia" w:ascii="宋体" w:hAnsi="宋体" w:eastAsia="仿宋"/>
          <w:sz w:val="32"/>
        </w:rPr>
      </w:pPr>
      <w:r>
        <w:rPr>
          <w:rFonts w:hint="eastAsia" w:ascii="宋体" w:hAnsi="宋体" w:eastAsia="仿宋"/>
          <w:sz w:val="32"/>
        </w:rPr>
        <w:t>一、部门职责</w:t>
      </w:r>
    </w:p>
    <w:p w14:paraId="6DABE0C2">
      <w:pPr>
        <w:rPr>
          <w:rFonts w:hint="eastAsia" w:ascii="宋体" w:hAnsi="宋体" w:eastAsia="仿宋"/>
          <w:sz w:val="32"/>
        </w:rPr>
      </w:pPr>
      <w:r>
        <w:rPr>
          <w:rFonts w:hint="eastAsia" w:ascii="宋体" w:hAnsi="宋体" w:eastAsia="仿宋"/>
          <w:sz w:val="32"/>
        </w:rPr>
        <w:t>二、机构设置及部门决算单位构成</w:t>
      </w:r>
    </w:p>
    <w:p w14:paraId="75DA5D9F">
      <w:pPr>
        <w:rPr>
          <w:rFonts w:hint="eastAsia" w:ascii="宋体" w:hAnsi="宋体" w:eastAsia="仿宋"/>
          <w:b/>
          <w:sz w:val="32"/>
        </w:rPr>
      </w:pPr>
      <w:r>
        <w:rPr>
          <w:rFonts w:hint="eastAsia" w:ascii="宋体" w:hAnsi="宋体" w:eastAsia="仿宋"/>
          <w:b/>
          <w:sz w:val="32"/>
        </w:rPr>
        <w:t>第二部分 2024年度部门决算表</w:t>
      </w:r>
    </w:p>
    <w:p w14:paraId="5546935F">
      <w:pPr>
        <w:rPr>
          <w:rFonts w:hint="eastAsia" w:ascii="宋体" w:hAnsi="宋体" w:eastAsia="仿宋"/>
          <w:sz w:val="32"/>
        </w:rPr>
      </w:pPr>
      <w:r>
        <w:rPr>
          <w:rFonts w:hint="eastAsia" w:ascii="宋体" w:hAnsi="宋体" w:eastAsia="仿宋"/>
          <w:sz w:val="32"/>
        </w:rPr>
        <w:t>一、收入支出决算总表</w:t>
      </w:r>
    </w:p>
    <w:p w14:paraId="0F909209">
      <w:pPr>
        <w:rPr>
          <w:rFonts w:hint="eastAsia" w:ascii="宋体" w:hAnsi="宋体" w:eastAsia="仿宋"/>
          <w:sz w:val="32"/>
        </w:rPr>
      </w:pPr>
      <w:r>
        <w:rPr>
          <w:rFonts w:hint="eastAsia" w:ascii="宋体" w:hAnsi="宋体" w:eastAsia="仿宋"/>
          <w:sz w:val="32"/>
        </w:rPr>
        <w:t>二、收入决算表</w:t>
      </w:r>
    </w:p>
    <w:p w14:paraId="383F13AD">
      <w:pPr>
        <w:rPr>
          <w:rFonts w:hint="eastAsia" w:ascii="宋体" w:hAnsi="宋体" w:eastAsia="仿宋"/>
          <w:sz w:val="32"/>
        </w:rPr>
      </w:pPr>
      <w:r>
        <w:rPr>
          <w:rFonts w:hint="eastAsia" w:ascii="宋体" w:hAnsi="宋体" w:eastAsia="仿宋"/>
          <w:sz w:val="32"/>
        </w:rPr>
        <w:t>三、支出决算表</w:t>
      </w:r>
    </w:p>
    <w:p w14:paraId="66E2945C">
      <w:pPr>
        <w:rPr>
          <w:rFonts w:hint="eastAsia" w:ascii="宋体" w:hAnsi="宋体" w:eastAsia="仿宋"/>
          <w:sz w:val="32"/>
        </w:rPr>
      </w:pPr>
      <w:r>
        <w:rPr>
          <w:rFonts w:hint="eastAsia" w:ascii="宋体" w:hAnsi="宋体" w:eastAsia="仿宋"/>
          <w:sz w:val="32"/>
        </w:rPr>
        <w:t>四、财政拨款收入支出决算总表</w:t>
      </w:r>
    </w:p>
    <w:p w14:paraId="1D627653">
      <w:pPr>
        <w:rPr>
          <w:rFonts w:hint="eastAsia" w:ascii="宋体" w:hAnsi="宋体" w:eastAsia="仿宋"/>
          <w:sz w:val="32"/>
        </w:rPr>
      </w:pPr>
      <w:r>
        <w:rPr>
          <w:rFonts w:hint="eastAsia" w:ascii="宋体" w:hAnsi="宋体" w:eastAsia="仿宋"/>
          <w:sz w:val="32"/>
        </w:rPr>
        <w:t>五、一般公共预算财政拨款支出决算表</w:t>
      </w:r>
    </w:p>
    <w:p w14:paraId="65620D04">
      <w:pPr>
        <w:rPr>
          <w:rFonts w:hint="eastAsia" w:ascii="宋体" w:hAnsi="宋体" w:eastAsia="仿宋"/>
          <w:sz w:val="32"/>
        </w:rPr>
      </w:pPr>
      <w:r>
        <w:rPr>
          <w:rFonts w:hint="eastAsia" w:ascii="宋体" w:hAnsi="宋体" w:eastAsia="仿宋"/>
          <w:sz w:val="32"/>
        </w:rPr>
        <w:t>六、一般公共预算财政拨款基本支出决算明</w:t>
      </w:r>
      <w:r>
        <w:rPr>
          <w:rFonts w:ascii="宋体" w:hAnsi="宋体" w:eastAsia="仿宋"/>
          <w:sz w:val="32"/>
        </w:rPr>
        <w:t>细</w:t>
      </w:r>
      <w:r>
        <w:rPr>
          <w:rFonts w:hint="eastAsia" w:ascii="宋体" w:hAnsi="宋体" w:eastAsia="仿宋"/>
          <w:sz w:val="32"/>
        </w:rPr>
        <w:t>表</w:t>
      </w:r>
    </w:p>
    <w:p w14:paraId="7D9A3B80">
      <w:pPr>
        <w:rPr>
          <w:rFonts w:ascii="宋体" w:hAnsi="宋体" w:eastAsia="仿宋"/>
          <w:sz w:val="32"/>
        </w:rPr>
      </w:pPr>
      <w:r>
        <w:rPr>
          <w:rFonts w:hint="eastAsia" w:ascii="宋体" w:hAnsi="宋体" w:eastAsia="仿宋"/>
          <w:sz w:val="32"/>
        </w:rPr>
        <w:t>七、政府性基金预算财政拨款收入支出决算表</w:t>
      </w:r>
    </w:p>
    <w:p w14:paraId="20E990AB">
      <w:pPr>
        <w:rPr>
          <w:rFonts w:hint="eastAsia" w:ascii="宋体" w:hAnsi="宋体" w:eastAsia="仿宋"/>
          <w:sz w:val="32"/>
        </w:rPr>
      </w:pPr>
      <w:r>
        <w:rPr>
          <w:rFonts w:hint="eastAsia" w:ascii="宋体" w:hAnsi="宋体" w:eastAsia="仿宋"/>
          <w:sz w:val="32"/>
        </w:rPr>
        <w:t>八、</w:t>
      </w:r>
      <w:r>
        <w:rPr>
          <w:rFonts w:hint="eastAsia" w:ascii="宋体" w:hAnsi="宋体" w:eastAsia="仿宋"/>
          <w:sz w:val="32"/>
          <w:szCs w:val="30"/>
        </w:rPr>
        <w:t>国有</w:t>
      </w:r>
      <w:r>
        <w:rPr>
          <w:rFonts w:ascii="宋体" w:hAnsi="宋体" w:eastAsia="仿宋"/>
          <w:sz w:val="32"/>
          <w:szCs w:val="30"/>
        </w:rPr>
        <w:t>资本经营预算</w:t>
      </w:r>
      <w:r>
        <w:rPr>
          <w:rFonts w:hint="eastAsia" w:ascii="宋体" w:hAnsi="宋体" w:eastAsia="仿宋"/>
          <w:sz w:val="32"/>
          <w:szCs w:val="30"/>
        </w:rPr>
        <w:t>财政拨款支出</w:t>
      </w:r>
      <w:r>
        <w:rPr>
          <w:rFonts w:ascii="宋体" w:hAnsi="宋体" w:eastAsia="仿宋"/>
          <w:sz w:val="32"/>
          <w:szCs w:val="30"/>
        </w:rPr>
        <w:t>决算表</w:t>
      </w:r>
    </w:p>
    <w:p w14:paraId="3B5FAAA4">
      <w:pPr>
        <w:rPr>
          <w:rFonts w:ascii="宋体" w:hAnsi="宋体" w:eastAsia="仿宋"/>
          <w:sz w:val="32"/>
        </w:rPr>
      </w:pPr>
      <w:r>
        <w:rPr>
          <w:rFonts w:hint="eastAsia" w:ascii="宋体" w:hAnsi="宋体" w:eastAsia="仿宋"/>
          <w:sz w:val="32"/>
        </w:rPr>
        <w:t>九、财政拨款“三公”经费支出决算表</w:t>
      </w:r>
    </w:p>
    <w:p w14:paraId="60222A18">
      <w:pPr>
        <w:rPr>
          <w:rFonts w:hint="eastAsia" w:ascii="宋体" w:hAnsi="宋体" w:eastAsia="仿宋"/>
          <w:sz w:val="32"/>
        </w:rPr>
      </w:pPr>
      <w:r>
        <w:rPr>
          <w:rFonts w:hint="eastAsia" w:ascii="宋体" w:hAnsi="宋体" w:eastAsia="仿宋"/>
          <w:sz w:val="32"/>
        </w:rPr>
        <w:t>十、部门预算项目支出绩效自评表</w:t>
      </w:r>
    </w:p>
    <w:p w14:paraId="19B5D6BA">
      <w:pPr>
        <w:rPr>
          <w:rFonts w:hint="eastAsia" w:ascii="宋体" w:hAnsi="宋体" w:eastAsia="仿宋"/>
          <w:b/>
          <w:sz w:val="32"/>
        </w:rPr>
      </w:pPr>
      <w:r>
        <w:rPr>
          <w:rFonts w:hint="eastAsia" w:ascii="宋体" w:hAnsi="宋体" w:eastAsia="仿宋"/>
          <w:b/>
          <w:sz w:val="32"/>
        </w:rPr>
        <w:t>第三部分  2024年度部门决算情况说明</w:t>
      </w:r>
    </w:p>
    <w:p w14:paraId="6FFB68A5">
      <w:pPr>
        <w:rPr>
          <w:rFonts w:hint="eastAsia" w:ascii="宋体" w:hAnsi="宋体" w:eastAsia="仿宋"/>
          <w:sz w:val="32"/>
        </w:rPr>
      </w:pPr>
      <w:r>
        <w:rPr>
          <w:rFonts w:hint="eastAsia" w:ascii="宋体" w:hAnsi="宋体" w:eastAsia="仿宋"/>
          <w:sz w:val="32"/>
        </w:rPr>
        <w:t>一、收入支出决算总体情况说明</w:t>
      </w:r>
    </w:p>
    <w:p w14:paraId="1AEA824C">
      <w:pPr>
        <w:rPr>
          <w:rFonts w:hint="eastAsia" w:ascii="宋体" w:hAnsi="宋体" w:eastAsia="仿宋"/>
          <w:sz w:val="32"/>
        </w:rPr>
      </w:pPr>
      <w:r>
        <w:rPr>
          <w:rFonts w:hint="eastAsia" w:ascii="宋体" w:hAnsi="宋体" w:eastAsia="仿宋"/>
          <w:sz w:val="32"/>
        </w:rPr>
        <w:t>二、收入决算情况说明</w:t>
      </w:r>
    </w:p>
    <w:p w14:paraId="319556EE">
      <w:pPr>
        <w:rPr>
          <w:rFonts w:hint="eastAsia" w:ascii="宋体" w:hAnsi="宋体" w:eastAsia="仿宋"/>
          <w:sz w:val="32"/>
        </w:rPr>
      </w:pPr>
      <w:r>
        <w:rPr>
          <w:rFonts w:hint="eastAsia" w:ascii="宋体" w:hAnsi="宋体" w:eastAsia="仿宋"/>
          <w:sz w:val="32"/>
        </w:rPr>
        <w:t>三、支出决算情况说明</w:t>
      </w:r>
    </w:p>
    <w:p w14:paraId="4934C094">
      <w:pPr>
        <w:rPr>
          <w:rFonts w:hint="eastAsia" w:ascii="宋体" w:hAnsi="宋体" w:eastAsia="仿宋"/>
          <w:sz w:val="32"/>
        </w:rPr>
      </w:pPr>
      <w:r>
        <w:rPr>
          <w:rFonts w:hint="eastAsia" w:ascii="宋体" w:hAnsi="宋体" w:eastAsia="仿宋"/>
          <w:sz w:val="32"/>
        </w:rPr>
        <w:t>四、财政拨款收入支出决算总体情况说明</w:t>
      </w:r>
    </w:p>
    <w:p w14:paraId="07CCB89F">
      <w:pPr>
        <w:rPr>
          <w:rFonts w:hint="eastAsia" w:ascii="宋体" w:hAnsi="宋体" w:eastAsia="仿宋"/>
          <w:sz w:val="32"/>
        </w:rPr>
      </w:pPr>
      <w:r>
        <w:rPr>
          <w:rFonts w:hint="eastAsia" w:ascii="宋体" w:hAnsi="宋体" w:eastAsia="仿宋"/>
          <w:sz w:val="32"/>
        </w:rPr>
        <w:t>五、一般公共预算财政拨款支出决算情况说明</w:t>
      </w:r>
    </w:p>
    <w:p w14:paraId="53D370D8">
      <w:pPr>
        <w:rPr>
          <w:rFonts w:hint="eastAsia" w:ascii="宋体" w:hAnsi="宋体" w:eastAsia="仿宋"/>
          <w:sz w:val="32"/>
        </w:rPr>
      </w:pPr>
      <w:r>
        <w:rPr>
          <w:rFonts w:hint="eastAsia" w:ascii="宋体" w:hAnsi="宋体" w:eastAsia="仿宋"/>
          <w:sz w:val="32"/>
        </w:rPr>
        <w:t>六、一般公共预算财政拨款基本支出决算情况说明</w:t>
      </w:r>
    </w:p>
    <w:p w14:paraId="719CFA70">
      <w:pPr>
        <w:rPr>
          <w:rFonts w:hint="eastAsia" w:ascii="宋体" w:hAnsi="宋体" w:eastAsia="仿宋"/>
          <w:sz w:val="32"/>
        </w:rPr>
      </w:pPr>
      <w:r>
        <w:rPr>
          <w:rFonts w:hint="eastAsia" w:ascii="宋体" w:hAnsi="宋体" w:eastAsia="仿宋"/>
          <w:sz w:val="32"/>
        </w:rPr>
        <w:t>七、政府性基金预算财政拨款收入支出决算情况说明</w:t>
      </w:r>
    </w:p>
    <w:p w14:paraId="2E409113">
      <w:pPr>
        <w:rPr>
          <w:rFonts w:hint="eastAsia" w:ascii="宋体" w:hAnsi="宋体" w:eastAsia="仿宋"/>
          <w:sz w:val="32"/>
          <w:szCs w:val="30"/>
        </w:rPr>
      </w:pPr>
      <w:r>
        <w:rPr>
          <w:rFonts w:hint="eastAsia" w:ascii="宋体" w:hAnsi="宋体" w:eastAsia="仿宋"/>
          <w:sz w:val="32"/>
        </w:rPr>
        <w:t>八、</w:t>
      </w:r>
      <w:r>
        <w:rPr>
          <w:rFonts w:hint="eastAsia" w:ascii="宋体" w:hAnsi="宋体" w:eastAsia="仿宋"/>
          <w:sz w:val="32"/>
          <w:szCs w:val="30"/>
        </w:rPr>
        <w:t>国有</w:t>
      </w:r>
      <w:r>
        <w:rPr>
          <w:rFonts w:ascii="宋体" w:hAnsi="宋体" w:eastAsia="仿宋"/>
          <w:sz w:val="32"/>
          <w:szCs w:val="30"/>
        </w:rPr>
        <w:t>资本经营预算</w:t>
      </w:r>
      <w:r>
        <w:rPr>
          <w:rFonts w:hint="eastAsia" w:ascii="宋体" w:hAnsi="宋体" w:eastAsia="仿宋"/>
          <w:sz w:val="32"/>
          <w:szCs w:val="30"/>
        </w:rPr>
        <w:t>财政拨款支出</w:t>
      </w:r>
      <w:r>
        <w:rPr>
          <w:rFonts w:ascii="宋体" w:hAnsi="宋体" w:eastAsia="仿宋"/>
          <w:sz w:val="32"/>
          <w:szCs w:val="30"/>
        </w:rPr>
        <w:t>决算</w:t>
      </w:r>
      <w:r>
        <w:rPr>
          <w:rFonts w:hint="eastAsia" w:ascii="宋体" w:hAnsi="宋体" w:eastAsia="仿宋"/>
          <w:sz w:val="32"/>
          <w:szCs w:val="30"/>
        </w:rPr>
        <w:t>情况说明</w:t>
      </w:r>
    </w:p>
    <w:p w14:paraId="7E0A5F70">
      <w:pPr>
        <w:rPr>
          <w:rFonts w:hint="eastAsia" w:ascii="宋体" w:hAnsi="宋体" w:eastAsia="仿宋"/>
          <w:sz w:val="32"/>
        </w:rPr>
      </w:pPr>
      <w:r>
        <w:rPr>
          <w:rFonts w:hint="eastAsia" w:ascii="宋体" w:hAnsi="宋体" w:eastAsia="仿宋"/>
          <w:sz w:val="32"/>
        </w:rPr>
        <w:t>九、财政拨款“三公”经费支出决算情况说明</w:t>
      </w:r>
    </w:p>
    <w:p w14:paraId="6EFC4E36">
      <w:pPr>
        <w:rPr>
          <w:rFonts w:ascii="宋体" w:hAnsi="宋体" w:eastAsia="仿宋"/>
          <w:sz w:val="32"/>
        </w:rPr>
      </w:pPr>
      <w:r>
        <w:rPr>
          <w:rFonts w:hint="eastAsia" w:ascii="宋体" w:hAnsi="宋体" w:eastAsia="仿宋"/>
          <w:sz w:val="32"/>
        </w:rPr>
        <w:t>十、绩效评</w:t>
      </w:r>
      <w:r>
        <w:rPr>
          <w:rFonts w:ascii="宋体" w:hAnsi="宋体" w:eastAsia="仿宋"/>
          <w:sz w:val="32"/>
        </w:rPr>
        <w:t>价情况说明</w:t>
      </w:r>
    </w:p>
    <w:p w14:paraId="605157A4">
      <w:pPr>
        <w:rPr>
          <w:rFonts w:hint="eastAsia" w:ascii="宋体" w:hAnsi="宋体" w:eastAsia="仿宋"/>
          <w:sz w:val="32"/>
        </w:rPr>
      </w:pPr>
      <w:r>
        <w:rPr>
          <w:rFonts w:hint="eastAsia" w:ascii="宋体" w:hAnsi="宋体" w:eastAsia="仿宋"/>
          <w:sz w:val="32"/>
        </w:rPr>
        <w:t>十一、其</w:t>
      </w:r>
      <w:r>
        <w:rPr>
          <w:rFonts w:ascii="宋体" w:hAnsi="宋体" w:eastAsia="仿宋"/>
          <w:sz w:val="32"/>
        </w:rPr>
        <w:t>他重要事项情况说明</w:t>
      </w:r>
    </w:p>
    <w:p w14:paraId="2B9C0951">
      <w:pPr>
        <w:rPr>
          <w:rFonts w:hint="eastAsia" w:ascii="宋体" w:hAnsi="宋体" w:eastAsia="仿宋"/>
          <w:b/>
          <w:sz w:val="32"/>
        </w:rPr>
      </w:pPr>
      <w:r>
        <w:rPr>
          <w:rFonts w:hint="eastAsia" w:ascii="宋体" w:hAnsi="宋体" w:eastAsia="仿宋"/>
          <w:b/>
          <w:sz w:val="32"/>
        </w:rPr>
        <w:t>第四部分  名词解释</w:t>
      </w:r>
    </w:p>
    <w:p w14:paraId="1C1E40FE">
      <w:pPr>
        <w:rPr>
          <w:rFonts w:hint="eastAsia" w:ascii="仿宋" w:hAnsi="仿宋" w:eastAsia="仿宋"/>
          <w:sz w:val="32"/>
        </w:rPr>
      </w:pPr>
    </w:p>
    <w:p w14:paraId="4FB01E93">
      <w:pPr>
        <w:rPr>
          <w:rFonts w:hint="eastAsia" w:ascii="仿宋" w:hAnsi="仿宋" w:eastAsia="仿宋"/>
          <w:sz w:val="32"/>
        </w:rPr>
      </w:pPr>
    </w:p>
    <w:p w14:paraId="3291C020">
      <w:pPr>
        <w:rPr>
          <w:rFonts w:hint="eastAsia" w:ascii="仿宋" w:hAnsi="仿宋" w:eastAsia="仿宋"/>
          <w:sz w:val="32"/>
        </w:rPr>
      </w:pPr>
    </w:p>
    <w:p w14:paraId="1C84537C">
      <w:pPr>
        <w:jc w:val="center"/>
        <w:rPr>
          <w:rFonts w:hint="eastAsia" w:ascii="仿宋" w:hAnsi="仿宋" w:eastAsia="仿宋"/>
          <w:sz w:val="32"/>
        </w:rPr>
      </w:pPr>
    </w:p>
    <w:p w14:paraId="1B8376F1">
      <w:pPr>
        <w:jc w:val="center"/>
        <w:rPr>
          <w:rFonts w:hint="eastAsia" w:ascii="仿宋" w:hAnsi="仿宋" w:eastAsia="仿宋"/>
          <w:sz w:val="32"/>
        </w:rPr>
      </w:pPr>
    </w:p>
    <w:p w14:paraId="1D76CC8D">
      <w:pPr>
        <w:jc w:val="center"/>
        <w:rPr>
          <w:rFonts w:hint="eastAsia" w:ascii="仿宋" w:hAnsi="仿宋" w:eastAsia="仿宋"/>
          <w:sz w:val="44"/>
        </w:rPr>
      </w:pPr>
    </w:p>
    <w:p w14:paraId="7191FE42">
      <w:pPr>
        <w:jc w:val="center"/>
        <w:rPr>
          <w:rFonts w:hint="eastAsia" w:ascii="仿宋" w:hAnsi="仿宋" w:eastAsia="仿宋"/>
          <w:sz w:val="44"/>
        </w:rPr>
      </w:pPr>
    </w:p>
    <w:p w14:paraId="08D41D4B">
      <w:pPr>
        <w:jc w:val="center"/>
        <w:rPr>
          <w:rFonts w:hint="eastAsia" w:ascii="仿宋" w:hAnsi="仿宋" w:eastAsia="仿宋"/>
          <w:sz w:val="44"/>
        </w:rPr>
      </w:pPr>
    </w:p>
    <w:p w14:paraId="4C748EB4">
      <w:pPr>
        <w:jc w:val="center"/>
        <w:rPr>
          <w:rFonts w:hint="eastAsia" w:ascii="仿宋" w:hAnsi="仿宋" w:eastAsia="仿宋"/>
          <w:sz w:val="44"/>
        </w:rPr>
      </w:pPr>
    </w:p>
    <w:p w14:paraId="2E935BAB">
      <w:pPr>
        <w:jc w:val="center"/>
        <w:rPr>
          <w:rFonts w:hint="eastAsia" w:ascii="仿宋" w:hAnsi="仿宋" w:eastAsia="仿宋"/>
          <w:sz w:val="44"/>
        </w:rPr>
      </w:pPr>
    </w:p>
    <w:p w14:paraId="66308583">
      <w:pPr>
        <w:jc w:val="center"/>
        <w:rPr>
          <w:rFonts w:hint="eastAsia" w:ascii="仿宋" w:hAnsi="仿宋" w:eastAsia="仿宋"/>
          <w:sz w:val="44"/>
        </w:rPr>
      </w:pPr>
    </w:p>
    <w:p w14:paraId="6E7EDCFC">
      <w:pPr>
        <w:jc w:val="center"/>
        <w:rPr>
          <w:rFonts w:hint="eastAsia" w:ascii="仿宋" w:hAnsi="仿宋" w:eastAsia="仿宋"/>
          <w:sz w:val="44"/>
        </w:rPr>
      </w:pPr>
    </w:p>
    <w:p w14:paraId="13F0AD0E">
      <w:pPr>
        <w:ind w:firstLine="2200" w:firstLineChars="500"/>
        <w:rPr>
          <w:rFonts w:ascii="仿宋" w:hAnsi="仿宋" w:eastAsia="仿宋"/>
          <w:sz w:val="44"/>
        </w:rPr>
      </w:pPr>
    </w:p>
    <w:p w14:paraId="132BAF28">
      <w:pPr>
        <w:ind w:firstLine="2200" w:firstLineChars="500"/>
        <w:rPr>
          <w:rFonts w:ascii="仿宋" w:hAnsi="仿宋" w:eastAsia="仿宋"/>
          <w:sz w:val="44"/>
        </w:rPr>
      </w:pPr>
    </w:p>
    <w:p w14:paraId="0DEB466F">
      <w:pPr>
        <w:rPr>
          <w:rFonts w:hint="eastAsia" w:ascii="仿宋" w:hAnsi="仿宋" w:eastAsia="仿宋"/>
          <w:sz w:val="44"/>
        </w:rPr>
      </w:pPr>
    </w:p>
    <w:p w14:paraId="15F9CCF2">
      <w:pPr>
        <w:ind w:firstLine="2200" w:firstLineChars="500"/>
        <w:rPr>
          <w:rFonts w:hint="eastAsia" w:ascii="方正小标宋简体" w:hAnsi="仿宋" w:eastAsia="方正小标宋简体"/>
          <w:sz w:val="44"/>
        </w:rPr>
      </w:pPr>
      <w:r>
        <w:rPr>
          <w:rFonts w:hint="eastAsia" w:ascii="方正小标宋简体" w:hAnsi="仿宋" w:eastAsia="方正小标宋简体"/>
          <w:sz w:val="44"/>
        </w:rPr>
        <w:t>第一部分  部门概况</w:t>
      </w:r>
    </w:p>
    <w:p w14:paraId="2B38115E">
      <w:pPr>
        <w:jc w:val="center"/>
        <w:rPr>
          <w:rFonts w:hint="eastAsia" w:ascii="仿宋" w:hAnsi="仿宋" w:eastAsia="仿宋"/>
          <w:sz w:val="32"/>
        </w:rPr>
      </w:pPr>
    </w:p>
    <w:p w14:paraId="20FF187E">
      <w:pPr>
        <w:ind w:firstLine="720" w:firstLineChars="225"/>
        <w:rPr>
          <w:rFonts w:hint="eastAsia" w:ascii="黑体" w:hAnsi="黑体" w:eastAsia="黑体"/>
          <w:sz w:val="32"/>
        </w:rPr>
      </w:pPr>
      <w:r>
        <w:rPr>
          <w:rFonts w:hint="eastAsia" w:ascii="黑体" w:hAnsi="黑体" w:eastAsia="黑体"/>
          <w:sz w:val="32"/>
        </w:rPr>
        <w:t>一、部门主要职责</w:t>
      </w:r>
    </w:p>
    <w:p w14:paraId="755B6F57">
      <w:pPr>
        <w:spacing w:line="360" w:lineRule="auto"/>
        <w:ind w:firstLine="640" w:firstLineChars="200"/>
        <w:rPr>
          <w:rFonts w:hint="eastAsia" w:ascii="宋体" w:hAnsi="宋体"/>
          <w:sz w:val="32"/>
        </w:rPr>
      </w:pPr>
      <w:r>
        <w:rPr>
          <w:rFonts w:hint="eastAsia" w:ascii="宋体" w:hAnsi="宋体"/>
          <w:sz w:val="32"/>
          <w:szCs w:val="32"/>
        </w:rPr>
        <w:t>榆树市职业技术教育中心主要职责是</w:t>
      </w:r>
      <w:r>
        <w:rPr>
          <w:rFonts w:hint="eastAsia" w:ascii="宋体" w:hAnsi="宋体"/>
          <w:sz w:val="32"/>
        </w:rPr>
        <w:t>承担面向社会提供优质职业教育服务工作，承办中等职业教育，深化产教融合、校企合作、中高职贯通培养、职业技能培训、职普对接、职业与成人教育等工作。</w:t>
      </w:r>
    </w:p>
    <w:p w14:paraId="4FCB4714">
      <w:pPr>
        <w:ind w:firstLine="640" w:firstLineChars="200"/>
        <w:rPr>
          <w:rFonts w:hint="eastAsia" w:ascii="黑体" w:hAnsi="黑体" w:eastAsia="黑体"/>
          <w:sz w:val="32"/>
        </w:rPr>
      </w:pPr>
      <w:r>
        <w:rPr>
          <w:rFonts w:hint="eastAsia" w:ascii="黑体" w:hAnsi="黑体" w:eastAsia="黑体"/>
          <w:sz w:val="32"/>
        </w:rPr>
        <w:t>二、机构设置及部门决算单位构成</w:t>
      </w:r>
    </w:p>
    <w:p w14:paraId="4472A873">
      <w:pPr>
        <w:spacing w:line="360" w:lineRule="auto"/>
        <w:ind w:firstLine="640" w:firstLineChars="200"/>
        <w:rPr>
          <w:rFonts w:hint="eastAsia" w:ascii="宋体" w:hAnsi="宋体"/>
          <w:sz w:val="32"/>
          <w:szCs w:val="32"/>
        </w:rPr>
      </w:pPr>
      <w:r>
        <w:rPr>
          <w:rFonts w:hint="eastAsia" w:ascii="宋体" w:hAnsi="宋体"/>
          <w:sz w:val="32"/>
          <w:szCs w:val="32"/>
        </w:rPr>
        <w:t>根据上述职责，</w:t>
      </w:r>
      <w:r>
        <w:rPr>
          <w:rFonts w:hint="eastAsia" w:ascii="宋体" w:hAnsi="宋体" w:cs="仿宋"/>
          <w:sz w:val="32"/>
          <w:szCs w:val="32"/>
        </w:rPr>
        <w:t>榆树市职业技术教育中心内设4个机构，分别为工会、团委、教导处、政教处</w:t>
      </w:r>
      <w:r>
        <w:rPr>
          <w:rFonts w:ascii="宋体" w:hAnsi="宋体"/>
          <w:sz w:val="32"/>
          <w:szCs w:val="32"/>
        </w:rPr>
        <w:t>。</w:t>
      </w:r>
      <w:r>
        <w:rPr>
          <w:rFonts w:hint="eastAsia" w:ascii="宋体" w:hAnsi="宋体"/>
          <w:sz w:val="32"/>
          <w:szCs w:val="32"/>
        </w:rPr>
        <w:t>纳入</w:t>
      </w:r>
      <w:r>
        <w:rPr>
          <w:rFonts w:hint="eastAsia" w:ascii="宋体" w:hAnsi="宋体" w:cs="仿宋"/>
          <w:sz w:val="32"/>
          <w:szCs w:val="32"/>
        </w:rPr>
        <w:t>榆树市职业技术教育中心</w:t>
      </w:r>
      <w:r>
        <w:rPr>
          <w:rFonts w:ascii="宋体" w:hAnsi="宋体"/>
          <w:sz w:val="32"/>
          <w:szCs w:val="32"/>
        </w:rPr>
        <w:t>202</w:t>
      </w:r>
      <w:r>
        <w:rPr>
          <w:rFonts w:hint="eastAsia" w:ascii="宋体" w:hAnsi="宋体"/>
          <w:sz w:val="32"/>
          <w:szCs w:val="32"/>
        </w:rPr>
        <w:t>4年度部门决算编制范围的单位包括：</w:t>
      </w:r>
    </w:p>
    <w:p w14:paraId="7DB529FA">
      <w:pPr>
        <w:spacing w:line="360" w:lineRule="auto"/>
        <w:ind w:firstLine="640" w:firstLineChars="200"/>
        <w:rPr>
          <w:rFonts w:hint="eastAsia" w:ascii="宋体" w:hAnsi="宋体"/>
          <w:sz w:val="32"/>
          <w:szCs w:val="32"/>
        </w:rPr>
      </w:pPr>
      <w:r>
        <w:rPr>
          <w:rFonts w:hint="eastAsia" w:ascii="宋体" w:hAnsi="宋体"/>
          <w:sz w:val="32"/>
          <w:szCs w:val="32"/>
        </w:rPr>
        <w:t>1.</w:t>
      </w:r>
      <w:r>
        <w:rPr>
          <w:rFonts w:hint="eastAsia" w:ascii="宋体" w:hAnsi="宋体" w:cs="仿宋"/>
          <w:sz w:val="32"/>
          <w:szCs w:val="32"/>
        </w:rPr>
        <w:t xml:space="preserve"> 榆树市职业技术教育中心</w:t>
      </w:r>
      <w:r>
        <w:rPr>
          <w:rFonts w:hint="eastAsia" w:ascii="宋体" w:hAnsi="宋体"/>
          <w:sz w:val="32"/>
          <w:szCs w:val="32"/>
        </w:rPr>
        <w:t>本级。</w:t>
      </w:r>
    </w:p>
    <w:p w14:paraId="2A1852BC">
      <w:pPr>
        <w:ind w:firstLine="640" w:firstLineChars="200"/>
        <w:jc w:val="left"/>
        <w:rPr>
          <w:rFonts w:ascii="宋体" w:hAnsi="宋体" w:eastAsia="仿宋_GB2312"/>
          <w:color w:val="FF0000"/>
          <w:sz w:val="32"/>
          <w:szCs w:val="32"/>
        </w:rPr>
      </w:pPr>
    </w:p>
    <w:p w14:paraId="022AB3F8">
      <w:pPr>
        <w:jc w:val="center"/>
        <w:rPr>
          <w:rFonts w:hint="eastAsia" w:ascii="宋体" w:hAnsi="宋体" w:eastAsia="仿宋_GB2312"/>
          <w:sz w:val="44"/>
        </w:rPr>
      </w:pPr>
    </w:p>
    <w:p w14:paraId="3B46D104">
      <w:pPr>
        <w:rPr>
          <w:rFonts w:hint="eastAsia" w:ascii="宋体" w:hAnsi="宋体" w:eastAsia="方正小标宋简体"/>
          <w:sz w:val="44"/>
        </w:rPr>
      </w:pPr>
    </w:p>
    <w:p w14:paraId="26CD4878">
      <w:pPr>
        <w:rPr>
          <w:rFonts w:hint="eastAsia" w:ascii="宋体" w:hAnsi="宋体" w:eastAsia="方正小标宋简体"/>
          <w:sz w:val="44"/>
        </w:rPr>
      </w:pPr>
    </w:p>
    <w:p w14:paraId="2C61EF0C">
      <w:pPr>
        <w:rPr>
          <w:rFonts w:hint="eastAsia" w:ascii="宋体" w:hAnsi="宋体" w:eastAsia="方正小标宋简体"/>
          <w:sz w:val="44"/>
        </w:rPr>
      </w:pPr>
    </w:p>
    <w:p w14:paraId="441C75D4">
      <w:pPr>
        <w:rPr>
          <w:rFonts w:hint="eastAsia" w:ascii="宋体" w:hAnsi="宋体" w:eastAsia="方正小标宋简体"/>
          <w:sz w:val="44"/>
        </w:rPr>
      </w:pPr>
    </w:p>
    <w:p w14:paraId="12E11106">
      <w:pPr>
        <w:rPr>
          <w:rFonts w:hint="eastAsia" w:ascii="宋体" w:hAnsi="宋体" w:eastAsia="方正小标宋简体"/>
          <w:sz w:val="44"/>
        </w:rPr>
      </w:pPr>
    </w:p>
    <w:p w14:paraId="5F56BFD6">
      <w:pPr>
        <w:rPr>
          <w:rFonts w:hint="eastAsia" w:ascii="宋体" w:hAnsi="宋体" w:eastAsia="方正小标宋简体"/>
          <w:sz w:val="44"/>
        </w:rPr>
      </w:pPr>
    </w:p>
    <w:p w14:paraId="1E0A5879">
      <w:pPr>
        <w:rPr>
          <w:rFonts w:hint="eastAsia" w:ascii="宋体" w:hAnsi="宋体" w:eastAsia="方正小标宋简体"/>
          <w:sz w:val="44"/>
        </w:rPr>
      </w:pPr>
    </w:p>
    <w:p w14:paraId="0DF0EABC">
      <w:pPr>
        <w:rPr>
          <w:rFonts w:hint="eastAsia" w:ascii="宋体" w:hAnsi="宋体" w:eastAsia="方正小标宋简体"/>
          <w:sz w:val="44"/>
        </w:rPr>
      </w:pPr>
    </w:p>
    <w:p w14:paraId="6E69DA6D">
      <w:pPr>
        <w:numPr>
          <w:ilvl w:val="0"/>
          <w:numId w:val="1"/>
        </w:numPr>
        <w:ind w:firstLine="1320" w:firstLineChars="300"/>
        <w:rPr>
          <w:rFonts w:hint="eastAsia" w:ascii="宋体" w:hAnsi="宋体" w:eastAsia="方正小标宋简体"/>
          <w:sz w:val="44"/>
        </w:rPr>
      </w:pPr>
      <w:r>
        <w:rPr>
          <w:rFonts w:hint="eastAsia" w:ascii="宋体" w:hAnsi="宋体" w:eastAsia="方正小标宋简体"/>
          <w:sz w:val="44"/>
        </w:rPr>
        <w:t>2024年度部门决算表</w:t>
      </w:r>
    </w:p>
    <w:p w14:paraId="6DED8746">
      <w:pPr>
        <w:rPr>
          <w:rFonts w:hint="eastAsia" w:ascii="宋体" w:hAnsi="宋体" w:eastAsia="方正小标宋简体"/>
          <w:sz w:val="44"/>
        </w:rPr>
      </w:pPr>
    </w:p>
    <w:p w14:paraId="4C6B760D">
      <w:pPr>
        <w:jc w:val="center"/>
        <w:rPr>
          <w:rFonts w:hint="eastAsia" w:ascii="宋体" w:hAnsi="宋体" w:eastAsia="仿宋_GB2312"/>
          <w:sz w:val="44"/>
        </w:rPr>
      </w:pPr>
    </w:p>
    <w:p w14:paraId="519CA0AC">
      <w:pPr>
        <w:ind w:firstLine="2880" w:firstLineChars="900"/>
        <w:rPr>
          <w:rFonts w:hint="eastAsia" w:ascii="黑体" w:hAnsi="黑体" w:eastAsia="黑体"/>
          <w:sz w:val="32"/>
        </w:rPr>
      </w:pPr>
      <w:r>
        <w:rPr>
          <w:rFonts w:hint="eastAsia" w:ascii="黑体" w:hAnsi="黑体" w:eastAsia="黑体"/>
          <w:sz w:val="32"/>
        </w:rPr>
        <w:t>一、收入支出决算总表</w:t>
      </w:r>
    </w:p>
    <w:p w14:paraId="00CCB90F">
      <w:pPr>
        <w:jc w:val="center"/>
      </w:pPr>
    </w:p>
    <w:p w14:paraId="48E42E5E">
      <w:pPr>
        <w:rPr>
          <w:rFonts w:hint="eastAsia" w:ascii="宋体" w:hAnsi="宋体" w:eastAsia="仿宋_GB2312"/>
          <w:color w:val="FF0000"/>
          <w:sz w:val="32"/>
          <w:szCs w:val="32"/>
          <w:lang w:val="en-US"/>
        </w:rPr>
      </w:pPr>
      <w:r>
        <w:rPr>
          <w:rFonts w:hint="eastAsia" w:ascii="宋体" w:hAnsi="宋体" w:eastAsia="仿宋_GB2312"/>
          <w:color w:val="FF0000"/>
          <w:sz w:val="32"/>
          <w:szCs w:val="32"/>
          <w:lang w:val="en-US"/>
        </w:rPr>
        <w:drawing>
          <wp:inline distT="0" distB="0" distL="0" distR="0">
            <wp:extent cx="5265420" cy="2773680"/>
            <wp:effectExtent l="0" t="0" r="0" b="0"/>
            <wp:docPr id="1" name="图片 31" descr="77d047af163e027bf73a35243359e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1" descr="77d047af163e027bf73a35243359e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65420" cy="2773680"/>
                    </a:xfrm>
                    <a:prstGeom prst="rect">
                      <a:avLst/>
                    </a:prstGeom>
                    <a:noFill/>
                    <a:ln>
                      <a:noFill/>
                    </a:ln>
                  </pic:spPr>
                </pic:pic>
              </a:graphicData>
            </a:graphic>
          </wp:inline>
        </w:drawing>
      </w:r>
    </w:p>
    <w:p w14:paraId="74D3B5A5">
      <w:pPr>
        <w:ind w:firstLine="640" w:firstLineChars="200"/>
        <w:rPr>
          <w:rFonts w:ascii="黑体" w:hAnsi="黑体" w:eastAsia="黑体"/>
          <w:sz w:val="32"/>
        </w:rPr>
      </w:pPr>
    </w:p>
    <w:p w14:paraId="78EC7D04">
      <w:pPr>
        <w:ind w:firstLine="640" w:firstLineChars="200"/>
        <w:rPr>
          <w:rFonts w:ascii="黑体" w:hAnsi="黑体" w:eastAsia="黑体"/>
          <w:sz w:val="32"/>
        </w:rPr>
      </w:pPr>
    </w:p>
    <w:p w14:paraId="2384E8E2">
      <w:pPr>
        <w:ind w:firstLine="640" w:firstLineChars="200"/>
        <w:rPr>
          <w:rFonts w:ascii="黑体" w:hAnsi="黑体" w:eastAsia="黑体"/>
          <w:sz w:val="32"/>
        </w:rPr>
      </w:pPr>
    </w:p>
    <w:p w14:paraId="3CE6E544">
      <w:pPr>
        <w:ind w:firstLine="640" w:firstLineChars="200"/>
        <w:rPr>
          <w:rFonts w:ascii="黑体" w:hAnsi="黑体" w:eastAsia="黑体"/>
          <w:sz w:val="32"/>
        </w:rPr>
      </w:pPr>
    </w:p>
    <w:p w14:paraId="00F64044">
      <w:pPr>
        <w:ind w:firstLine="640" w:firstLineChars="200"/>
        <w:rPr>
          <w:rFonts w:ascii="黑体" w:hAnsi="黑体" w:eastAsia="黑体"/>
          <w:sz w:val="32"/>
        </w:rPr>
      </w:pPr>
    </w:p>
    <w:p w14:paraId="020C2D06">
      <w:pPr>
        <w:ind w:firstLine="640" w:firstLineChars="200"/>
        <w:rPr>
          <w:rFonts w:ascii="黑体" w:hAnsi="黑体" w:eastAsia="黑体"/>
          <w:sz w:val="32"/>
        </w:rPr>
      </w:pPr>
    </w:p>
    <w:p w14:paraId="2827FB20">
      <w:pPr>
        <w:ind w:firstLine="640" w:firstLineChars="200"/>
        <w:rPr>
          <w:rFonts w:ascii="黑体" w:hAnsi="黑体" w:eastAsia="黑体"/>
          <w:sz w:val="32"/>
        </w:rPr>
      </w:pPr>
    </w:p>
    <w:p w14:paraId="20D9C597">
      <w:pPr>
        <w:ind w:firstLine="640" w:firstLineChars="200"/>
        <w:rPr>
          <w:rFonts w:hint="eastAsia" w:ascii="黑体" w:hAnsi="黑体" w:eastAsia="黑体"/>
          <w:sz w:val="32"/>
        </w:rPr>
      </w:pPr>
    </w:p>
    <w:p w14:paraId="5D7DFD92">
      <w:pPr>
        <w:ind w:firstLine="640" w:firstLineChars="200"/>
        <w:rPr>
          <w:rFonts w:hint="eastAsia" w:ascii="黑体" w:hAnsi="黑体" w:eastAsia="黑体"/>
          <w:sz w:val="32"/>
        </w:rPr>
      </w:pPr>
    </w:p>
    <w:p w14:paraId="4575A5B7">
      <w:pPr>
        <w:ind w:firstLine="640" w:firstLineChars="200"/>
        <w:rPr>
          <w:rFonts w:hint="eastAsia" w:ascii="黑体" w:hAnsi="黑体" w:eastAsia="黑体"/>
          <w:sz w:val="32"/>
        </w:rPr>
      </w:pPr>
    </w:p>
    <w:p w14:paraId="4D632D34">
      <w:pPr>
        <w:ind w:firstLine="640" w:firstLineChars="200"/>
        <w:rPr>
          <w:rFonts w:hint="eastAsia" w:ascii="黑体" w:hAnsi="黑体" w:eastAsia="黑体"/>
          <w:sz w:val="32"/>
        </w:rPr>
      </w:pPr>
    </w:p>
    <w:p w14:paraId="70CA07EB">
      <w:pPr>
        <w:ind w:firstLine="2560" w:firstLineChars="800"/>
        <w:rPr>
          <w:rFonts w:hint="eastAsia" w:ascii="黑体" w:hAnsi="黑体" w:eastAsia="黑体"/>
          <w:sz w:val="32"/>
        </w:rPr>
      </w:pPr>
      <w:r>
        <w:rPr>
          <w:rFonts w:hint="eastAsia" w:ascii="黑体" w:hAnsi="黑体" w:eastAsia="黑体"/>
          <w:sz w:val="32"/>
        </w:rPr>
        <w:t>二、收入决算表</w:t>
      </w:r>
    </w:p>
    <w:p w14:paraId="119EAF05">
      <w:pPr>
        <w:jc w:val="center"/>
        <w:rPr>
          <w:rFonts w:hint="eastAsia" w:ascii="宋体" w:hAnsi="宋体" w:eastAsia="仿宋_GB2312"/>
          <w:color w:val="FF0000"/>
          <w:sz w:val="32"/>
          <w:szCs w:val="32"/>
          <w:lang w:val="en-US"/>
        </w:rPr>
      </w:pPr>
      <w:r>
        <w:rPr>
          <w:rFonts w:hint="eastAsia" w:ascii="宋体" w:hAnsi="宋体" w:eastAsia="仿宋_GB2312"/>
          <w:color w:val="FF0000"/>
          <w:sz w:val="32"/>
          <w:szCs w:val="32"/>
          <w:lang w:val="en-US"/>
        </w:rPr>
        <w:drawing>
          <wp:inline distT="0" distB="0" distL="0" distR="0">
            <wp:extent cx="5265420" cy="2049780"/>
            <wp:effectExtent l="0" t="0" r="0" b="0"/>
            <wp:docPr id="2" name="图片 32" descr="1e9cac3063789403bfb6f86805dbb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2" descr="1e9cac3063789403bfb6f86805dbbd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65420" cy="2049780"/>
                    </a:xfrm>
                    <a:prstGeom prst="rect">
                      <a:avLst/>
                    </a:prstGeom>
                    <a:noFill/>
                    <a:ln>
                      <a:noFill/>
                    </a:ln>
                  </pic:spPr>
                </pic:pic>
              </a:graphicData>
            </a:graphic>
          </wp:inline>
        </w:drawing>
      </w:r>
    </w:p>
    <w:p w14:paraId="0FAD14FB">
      <w:pPr>
        <w:ind w:firstLine="640" w:firstLineChars="200"/>
        <w:rPr>
          <w:rFonts w:ascii="宋体" w:hAnsi="宋体" w:eastAsia="仿宋_GB2312"/>
          <w:color w:val="FF0000"/>
          <w:sz w:val="32"/>
          <w:szCs w:val="32"/>
          <w:lang w:val="en-US" w:eastAsia="zh-CN"/>
        </w:rPr>
      </w:pPr>
    </w:p>
    <w:p w14:paraId="7E0AA391">
      <w:pPr>
        <w:ind w:firstLine="640" w:firstLineChars="200"/>
        <w:rPr>
          <w:rFonts w:ascii="黑体" w:hAnsi="黑体" w:eastAsia="黑体"/>
          <w:sz w:val="32"/>
        </w:rPr>
      </w:pPr>
    </w:p>
    <w:p w14:paraId="7931EF54">
      <w:pPr>
        <w:ind w:firstLine="640" w:firstLineChars="200"/>
        <w:rPr>
          <w:rFonts w:ascii="黑体" w:hAnsi="黑体" w:eastAsia="黑体"/>
          <w:sz w:val="32"/>
        </w:rPr>
      </w:pPr>
    </w:p>
    <w:p w14:paraId="0BB75AE3">
      <w:pPr>
        <w:ind w:firstLine="640" w:firstLineChars="200"/>
        <w:rPr>
          <w:rFonts w:ascii="黑体" w:hAnsi="黑体" w:eastAsia="黑体"/>
          <w:sz w:val="32"/>
        </w:rPr>
      </w:pPr>
    </w:p>
    <w:p w14:paraId="14266333">
      <w:pPr>
        <w:ind w:firstLine="640" w:firstLineChars="200"/>
        <w:rPr>
          <w:rFonts w:ascii="黑体" w:hAnsi="黑体" w:eastAsia="黑体"/>
          <w:sz w:val="32"/>
        </w:rPr>
      </w:pPr>
    </w:p>
    <w:p w14:paraId="1FB85FDD">
      <w:pPr>
        <w:ind w:firstLine="640" w:firstLineChars="200"/>
        <w:rPr>
          <w:rFonts w:ascii="黑体" w:hAnsi="黑体" w:eastAsia="黑体"/>
          <w:sz w:val="32"/>
        </w:rPr>
      </w:pPr>
    </w:p>
    <w:p w14:paraId="7F426DEF">
      <w:pPr>
        <w:ind w:firstLine="640" w:firstLineChars="200"/>
        <w:rPr>
          <w:rFonts w:ascii="黑体" w:hAnsi="黑体" w:eastAsia="黑体"/>
          <w:sz w:val="32"/>
        </w:rPr>
      </w:pPr>
    </w:p>
    <w:p w14:paraId="3280630F">
      <w:pPr>
        <w:ind w:firstLine="640" w:firstLineChars="200"/>
        <w:rPr>
          <w:rFonts w:ascii="黑体" w:hAnsi="黑体" w:eastAsia="黑体"/>
          <w:sz w:val="32"/>
        </w:rPr>
      </w:pPr>
    </w:p>
    <w:p w14:paraId="02650C65">
      <w:pPr>
        <w:ind w:firstLine="640" w:firstLineChars="200"/>
        <w:rPr>
          <w:rFonts w:ascii="黑体" w:hAnsi="黑体" w:eastAsia="黑体"/>
          <w:sz w:val="32"/>
        </w:rPr>
      </w:pPr>
    </w:p>
    <w:p w14:paraId="79993F47">
      <w:pPr>
        <w:ind w:firstLine="640" w:firstLineChars="200"/>
        <w:rPr>
          <w:rFonts w:hint="eastAsia" w:ascii="黑体" w:hAnsi="黑体" w:eastAsia="黑体"/>
          <w:sz w:val="32"/>
        </w:rPr>
      </w:pPr>
    </w:p>
    <w:p w14:paraId="071D76AB">
      <w:pPr>
        <w:ind w:firstLine="640" w:firstLineChars="200"/>
        <w:rPr>
          <w:rFonts w:hint="eastAsia" w:ascii="黑体" w:hAnsi="黑体" w:eastAsia="黑体"/>
          <w:sz w:val="32"/>
        </w:rPr>
      </w:pPr>
    </w:p>
    <w:p w14:paraId="105E2982">
      <w:pPr>
        <w:ind w:firstLine="640" w:firstLineChars="200"/>
        <w:rPr>
          <w:rFonts w:hint="eastAsia" w:ascii="黑体" w:hAnsi="黑体" w:eastAsia="黑体"/>
          <w:sz w:val="32"/>
        </w:rPr>
      </w:pPr>
    </w:p>
    <w:p w14:paraId="076B1A3A">
      <w:pPr>
        <w:ind w:firstLine="640" w:firstLineChars="200"/>
        <w:rPr>
          <w:rFonts w:hint="eastAsia" w:ascii="黑体" w:hAnsi="黑体" w:eastAsia="黑体"/>
          <w:sz w:val="32"/>
        </w:rPr>
      </w:pPr>
    </w:p>
    <w:p w14:paraId="32D9C6D0">
      <w:pPr>
        <w:ind w:firstLine="640" w:firstLineChars="200"/>
        <w:rPr>
          <w:rFonts w:ascii="黑体" w:hAnsi="黑体" w:eastAsia="黑体"/>
          <w:sz w:val="32"/>
        </w:rPr>
      </w:pPr>
    </w:p>
    <w:p w14:paraId="6CC12C82">
      <w:pPr>
        <w:ind w:firstLine="640" w:firstLineChars="200"/>
        <w:rPr>
          <w:rFonts w:hint="eastAsia" w:ascii="黑体" w:hAnsi="黑体" w:eastAsia="黑体"/>
          <w:sz w:val="32"/>
        </w:rPr>
      </w:pPr>
    </w:p>
    <w:p w14:paraId="67ACE5B0">
      <w:pPr>
        <w:ind w:firstLine="2880" w:firstLineChars="900"/>
        <w:rPr>
          <w:rFonts w:hint="eastAsia" w:ascii="黑体" w:hAnsi="黑体" w:eastAsia="黑体"/>
          <w:sz w:val="32"/>
        </w:rPr>
      </w:pPr>
      <w:r>
        <w:rPr>
          <w:rFonts w:hint="eastAsia" w:ascii="黑体" w:hAnsi="黑体" w:eastAsia="黑体"/>
          <w:sz w:val="32"/>
        </w:rPr>
        <w:t>三、支出决算表</w:t>
      </w:r>
    </w:p>
    <w:p w14:paraId="6EF47FC1">
      <w:pPr>
        <w:jc w:val="center"/>
        <w:rPr>
          <w:rFonts w:hint="eastAsia" w:ascii="宋体" w:hAnsi="宋体" w:eastAsia="仿宋_GB2312"/>
          <w:color w:val="FF0000"/>
          <w:sz w:val="32"/>
          <w:szCs w:val="32"/>
          <w:lang w:val="en-US"/>
        </w:rPr>
      </w:pPr>
      <w:r>
        <w:rPr>
          <w:rFonts w:hint="eastAsia" w:ascii="宋体" w:hAnsi="宋体" w:eastAsia="仿宋_GB2312"/>
          <w:color w:val="FF0000"/>
          <w:sz w:val="32"/>
          <w:szCs w:val="32"/>
          <w:lang w:val="en-US"/>
        </w:rPr>
        <w:drawing>
          <wp:inline distT="0" distB="0" distL="0" distR="0">
            <wp:extent cx="5265420" cy="2133600"/>
            <wp:effectExtent l="0" t="0" r="0" b="0"/>
            <wp:docPr id="3" name="图片 34" descr="0df19da20b16a66a22b4f64d96de3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4" descr="0df19da20b16a66a22b4f64d96de36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65420" cy="2133600"/>
                    </a:xfrm>
                    <a:prstGeom prst="rect">
                      <a:avLst/>
                    </a:prstGeom>
                    <a:noFill/>
                    <a:ln>
                      <a:noFill/>
                    </a:ln>
                  </pic:spPr>
                </pic:pic>
              </a:graphicData>
            </a:graphic>
          </wp:inline>
        </w:drawing>
      </w:r>
    </w:p>
    <w:p w14:paraId="34D601C1">
      <w:pPr>
        <w:ind w:firstLine="640" w:firstLineChars="200"/>
        <w:rPr>
          <w:rFonts w:ascii="宋体" w:hAnsi="宋体" w:eastAsia="仿宋_GB2312"/>
          <w:color w:val="FF0000"/>
          <w:sz w:val="32"/>
          <w:szCs w:val="32"/>
          <w:lang w:val="en-US" w:eastAsia="zh-CN"/>
        </w:rPr>
      </w:pPr>
    </w:p>
    <w:p w14:paraId="110E1FA9">
      <w:pPr>
        <w:ind w:firstLine="640" w:firstLineChars="200"/>
        <w:rPr>
          <w:rFonts w:ascii="黑体" w:hAnsi="黑体" w:eastAsia="黑体"/>
          <w:sz w:val="32"/>
        </w:rPr>
      </w:pPr>
    </w:p>
    <w:p w14:paraId="65E14200">
      <w:pPr>
        <w:ind w:firstLine="640" w:firstLineChars="200"/>
        <w:rPr>
          <w:rFonts w:ascii="黑体" w:hAnsi="黑体" w:eastAsia="黑体"/>
          <w:sz w:val="32"/>
        </w:rPr>
      </w:pPr>
    </w:p>
    <w:p w14:paraId="0DADEF44">
      <w:pPr>
        <w:ind w:firstLine="640" w:firstLineChars="200"/>
        <w:rPr>
          <w:rFonts w:ascii="黑体" w:hAnsi="黑体" w:eastAsia="黑体"/>
          <w:sz w:val="32"/>
        </w:rPr>
      </w:pPr>
    </w:p>
    <w:p w14:paraId="64C0C171">
      <w:pPr>
        <w:ind w:firstLine="640" w:firstLineChars="200"/>
        <w:rPr>
          <w:rFonts w:ascii="黑体" w:hAnsi="黑体" w:eastAsia="黑体"/>
          <w:sz w:val="32"/>
        </w:rPr>
      </w:pPr>
    </w:p>
    <w:p w14:paraId="51C9FFAA">
      <w:pPr>
        <w:ind w:firstLine="640" w:firstLineChars="200"/>
        <w:rPr>
          <w:rFonts w:ascii="黑体" w:hAnsi="黑体" w:eastAsia="黑体"/>
          <w:sz w:val="32"/>
        </w:rPr>
      </w:pPr>
    </w:p>
    <w:p w14:paraId="4D620103">
      <w:pPr>
        <w:ind w:firstLine="640" w:firstLineChars="200"/>
        <w:rPr>
          <w:rFonts w:ascii="黑体" w:hAnsi="黑体" w:eastAsia="黑体"/>
          <w:sz w:val="32"/>
        </w:rPr>
      </w:pPr>
    </w:p>
    <w:p w14:paraId="43CDAB47">
      <w:pPr>
        <w:ind w:firstLine="640" w:firstLineChars="200"/>
        <w:rPr>
          <w:rFonts w:ascii="黑体" w:hAnsi="黑体" w:eastAsia="黑体"/>
          <w:sz w:val="32"/>
        </w:rPr>
      </w:pPr>
    </w:p>
    <w:p w14:paraId="44309ECE">
      <w:pPr>
        <w:ind w:firstLine="640" w:firstLineChars="200"/>
        <w:rPr>
          <w:rFonts w:hint="eastAsia" w:ascii="黑体" w:hAnsi="黑体" w:eastAsia="黑体"/>
          <w:sz w:val="32"/>
        </w:rPr>
      </w:pPr>
    </w:p>
    <w:p w14:paraId="184920C7">
      <w:pPr>
        <w:ind w:firstLine="640" w:firstLineChars="200"/>
        <w:rPr>
          <w:rFonts w:hint="eastAsia" w:ascii="黑体" w:hAnsi="黑体" w:eastAsia="黑体"/>
          <w:sz w:val="32"/>
        </w:rPr>
      </w:pPr>
    </w:p>
    <w:p w14:paraId="487B20E6">
      <w:pPr>
        <w:ind w:firstLine="640" w:firstLineChars="200"/>
        <w:rPr>
          <w:rFonts w:hint="eastAsia" w:ascii="黑体" w:hAnsi="黑体" w:eastAsia="黑体"/>
          <w:sz w:val="32"/>
        </w:rPr>
      </w:pPr>
    </w:p>
    <w:p w14:paraId="36A9F0A5">
      <w:pPr>
        <w:ind w:firstLine="640" w:firstLineChars="200"/>
        <w:rPr>
          <w:rFonts w:hint="eastAsia" w:ascii="黑体" w:hAnsi="黑体" w:eastAsia="黑体"/>
          <w:sz w:val="32"/>
        </w:rPr>
      </w:pPr>
    </w:p>
    <w:p w14:paraId="3081C2A8">
      <w:pPr>
        <w:ind w:firstLine="640" w:firstLineChars="200"/>
        <w:rPr>
          <w:rFonts w:hint="eastAsia" w:ascii="黑体" w:hAnsi="黑体" w:eastAsia="黑体"/>
          <w:sz w:val="32"/>
        </w:rPr>
      </w:pPr>
    </w:p>
    <w:p w14:paraId="7D158344">
      <w:pPr>
        <w:ind w:firstLine="2240" w:firstLineChars="700"/>
        <w:rPr>
          <w:rFonts w:hint="eastAsia" w:ascii="黑体" w:hAnsi="黑体" w:eastAsia="黑体"/>
          <w:sz w:val="32"/>
        </w:rPr>
      </w:pPr>
    </w:p>
    <w:p w14:paraId="3D59B88C">
      <w:pPr>
        <w:ind w:firstLine="2240" w:firstLineChars="700"/>
        <w:rPr>
          <w:rFonts w:hint="eastAsia" w:ascii="黑体" w:hAnsi="黑体" w:eastAsia="黑体"/>
          <w:sz w:val="32"/>
        </w:rPr>
      </w:pPr>
    </w:p>
    <w:p w14:paraId="36099B9E">
      <w:pPr>
        <w:ind w:firstLine="2240" w:firstLineChars="700"/>
        <w:rPr>
          <w:rFonts w:hint="eastAsia" w:ascii="黑体" w:hAnsi="黑体" w:eastAsia="黑体"/>
          <w:sz w:val="32"/>
        </w:rPr>
      </w:pPr>
    </w:p>
    <w:p w14:paraId="29A3BE30">
      <w:pPr>
        <w:ind w:firstLine="2240" w:firstLineChars="700"/>
        <w:rPr>
          <w:rFonts w:ascii="黑体" w:hAnsi="黑体" w:eastAsia="黑体"/>
          <w:sz w:val="32"/>
        </w:rPr>
      </w:pPr>
      <w:r>
        <w:rPr>
          <w:rFonts w:hint="eastAsia" w:ascii="黑体" w:hAnsi="黑体" w:eastAsia="黑体"/>
          <w:sz w:val="32"/>
        </w:rPr>
        <w:t>四、财政拨款收入支出决算总表</w:t>
      </w:r>
    </w:p>
    <w:p w14:paraId="09C3FD59">
      <w:pPr>
        <w:rPr>
          <w:rFonts w:hint="eastAsia" w:ascii="黑体" w:hAnsi="黑体" w:eastAsia="黑体"/>
          <w:sz w:val="32"/>
        </w:rPr>
      </w:pPr>
      <w:r>
        <w:rPr>
          <w:rFonts w:hint="eastAsia" w:ascii="黑体" w:hAnsi="黑体" w:eastAsia="黑体"/>
          <w:sz w:val="32"/>
        </w:rPr>
        <w:drawing>
          <wp:inline distT="0" distB="0" distL="0" distR="0">
            <wp:extent cx="5265420" cy="2308860"/>
            <wp:effectExtent l="0" t="0" r="0" b="0"/>
            <wp:docPr id="4" name="图片 35" descr="6a97b4767ed6dddcefbdbd02e55da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5" descr="6a97b4767ed6dddcefbdbd02e55da9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65420" cy="2308860"/>
                    </a:xfrm>
                    <a:prstGeom prst="rect">
                      <a:avLst/>
                    </a:prstGeom>
                    <a:noFill/>
                    <a:ln>
                      <a:noFill/>
                    </a:ln>
                  </pic:spPr>
                </pic:pic>
              </a:graphicData>
            </a:graphic>
          </wp:inline>
        </w:drawing>
      </w:r>
    </w:p>
    <w:p w14:paraId="3EDB04DE">
      <w:pPr>
        <w:rPr>
          <w:rFonts w:hint="eastAsia" w:ascii="宋体" w:hAnsi="宋体" w:eastAsia="仿宋_GB2312"/>
          <w:color w:val="FF0000"/>
          <w:sz w:val="32"/>
          <w:szCs w:val="32"/>
          <w:lang w:val="en-US" w:eastAsia="zh-CN"/>
        </w:rPr>
      </w:pPr>
    </w:p>
    <w:p w14:paraId="735681B3">
      <w:pPr>
        <w:ind w:firstLine="640" w:firstLineChars="200"/>
        <w:rPr>
          <w:rFonts w:ascii="黑体" w:hAnsi="黑体" w:eastAsia="黑体"/>
          <w:sz w:val="32"/>
        </w:rPr>
      </w:pPr>
      <w:r>
        <w:rPr>
          <w:rFonts w:ascii="黑体" w:hAnsi="黑体" w:eastAsia="黑体"/>
          <w:sz w:val="32"/>
        </w:rPr>
        <w:br w:type="page"/>
      </w:r>
    </w:p>
    <w:p w14:paraId="58BAB40D">
      <w:pPr>
        <w:ind w:firstLine="1280" w:firstLineChars="400"/>
        <w:rPr>
          <w:rFonts w:ascii="黑体" w:hAnsi="黑体" w:eastAsia="黑体"/>
          <w:sz w:val="32"/>
        </w:rPr>
      </w:pPr>
      <w:r>
        <w:rPr>
          <w:rFonts w:hint="eastAsia" w:ascii="黑体" w:hAnsi="黑体" w:eastAsia="黑体"/>
          <w:sz w:val="32"/>
        </w:rPr>
        <w:t>五、一般公共预算财政拨款支出决算表</w:t>
      </w:r>
    </w:p>
    <w:p w14:paraId="0D9A32AA">
      <w:pPr>
        <w:rPr>
          <w:rFonts w:hint="eastAsia" w:ascii="黑体" w:hAnsi="黑体" w:eastAsia="黑体"/>
          <w:sz w:val="32"/>
          <w:lang w:eastAsia="zh-CN"/>
        </w:rPr>
      </w:pPr>
      <w:r>
        <w:rPr>
          <w:rFonts w:hint="eastAsia" w:ascii="黑体" w:hAnsi="黑体" w:eastAsia="黑体"/>
          <w:sz w:val="32"/>
          <w:lang w:eastAsia="zh-CN"/>
        </w:rPr>
        <w:drawing>
          <wp:inline distT="0" distB="0" distL="114300" distR="114300">
            <wp:extent cx="5271135" cy="3041650"/>
            <wp:effectExtent l="0" t="0" r="5715" b="6350"/>
            <wp:docPr id="11" name="图片 11" descr="83219923ea2bd68603f0c56f73b3b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83219923ea2bd68603f0c56f73b3b15"/>
                    <pic:cNvPicPr>
                      <a:picLocks noChangeAspect="1"/>
                    </pic:cNvPicPr>
                  </pic:nvPicPr>
                  <pic:blipFill>
                    <a:blip r:embed="rId9"/>
                    <a:stretch>
                      <a:fillRect/>
                    </a:stretch>
                  </pic:blipFill>
                  <pic:spPr>
                    <a:xfrm>
                      <a:off x="0" y="0"/>
                      <a:ext cx="5271135" cy="3041650"/>
                    </a:xfrm>
                    <a:prstGeom prst="rect">
                      <a:avLst/>
                    </a:prstGeom>
                  </pic:spPr>
                </pic:pic>
              </a:graphicData>
            </a:graphic>
          </wp:inline>
        </w:drawing>
      </w:r>
    </w:p>
    <w:p w14:paraId="6F96525C">
      <w:pPr>
        <w:ind w:firstLine="640" w:firstLineChars="200"/>
        <w:rPr>
          <w:rFonts w:ascii="宋体" w:hAnsi="宋体" w:eastAsia="仿宋_GB2312"/>
          <w:color w:val="FF0000"/>
          <w:sz w:val="32"/>
          <w:szCs w:val="32"/>
          <w:lang w:val="en-US" w:eastAsia="zh-CN"/>
        </w:rPr>
      </w:pPr>
    </w:p>
    <w:p w14:paraId="74E292DF">
      <w:pPr>
        <w:ind w:firstLine="640" w:firstLineChars="200"/>
        <w:rPr>
          <w:rFonts w:ascii="黑体" w:hAnsi="黑体" w:eastAsia="黑体"/>
          <w:sz w:val="32"/>
        </w:rPr>
      </w:pPr>
    </w:p>
    <w:p w14:paraId="3329742B">
      <w:pPr>
        <w:ind w:firstLine="640" w:firstLineChars="200"/>
        <w:rPr>
          <w:rFonts w:hint="eastAsia" w:ascii="黑体" w:hAnsi="黑体" w:eastAsia="黑体"/>
          <w:sz w:val="32"/>
        </w:rPr>
      </w:pPr>
    </w:p>
    <w:p w14:paraId="585A5289">
      <w:pPr>
        <w:ind w:firstLine="640" w:firstLineChars="200"/>
        <w:rPr>
          <w:rFonts w:hint="eastAsia" w:ascii="黑体" w:hAnsi="黑体" w:eastAsia="黑体"/>
          <w:sz w:val="32"/>
        </w:rPr>
      </w:pPr>
    </w:p>
    <w:p w14:paraId="1C1D4576">
      <w:pPr>
        <w:ind w:firstLine="640" w:firstLineChars="200"/>
        <w:rPr>
          <w:rFonts w:hint="eastAsia" w:ascii="黑体" w:hAnsi="黑体" w:eastAsia="黑体"/>
          <w:sz w:val="32"/>
        </w:rPr>
      </w:pPr>
    </w:p>
    <w:p w14:paraId="29FE84BA">
      <w:pPr>
        <w:ind w:firstLine="640" w:firstLineChars="200"/>
        <w:rPr>
          <w:rFonts w:hint="eastAsia" w:ascii="黑体" w:hAnsi="黑体" w:eastAsia="黑体"/>
          <w:sz w:val="32"/>
        </w:rPr>
      </w:pPr>
    </w:p>
    <w:p w14:paraId="2436AAA4">
      <w:pPr>
        <w:ind w:firstLine="640" w:firstLineChars="200"/>
        <w:rPr>
          <w:rFonts w:hint="eastAsia" w:ascii="黑体" w:hAnsi="黑体" w:eastAsia="黑体"/>
          <w:sz w:val="32"/>
        </w:rPr>
      </w:pPr>
    </w:p>
    <w:p w14:paraId="603D0B9A">
      <w:pPr>
        <w:ind w:firstLine="640" w:firstLineChars="200"/>
        <w:rPr>
          <w:rFonts w:hint="eastAsia" w:ascii="黑体" w:hAnsi="黑体" w:eastAsia="黑体"/>
          <w:sz w:val="32"/>
        </w:rPr>
      </w:pPr>
    </w:p>
    <w:p w14:paraId="20F2EB5D">
      <w:pPr>
        <w:ind w:firstLine="640" w:firstLineChars="200"/>
        <w:rPr>
          <w:rFonts w:hint="eastAsia" w:ascii="黑体" w:hAnsi="黑体" w:eastAsia="黑体"/>
          <w:sz w:val="32"/>
        </w:rPr>
      </w:pPr>
    </w:p>
    <w:p w14:paraId="223C0F27">
      <w:pPr>
        <w:ind w:firstLine="640" w:firstLineChars="200"/>
        <w:rPr>
          <w:rFonts w:hint="eastAsia" w:ascii="黑体" w:hAnsi="黑体" w:eastAsia="黑体"/>
          <w:sz w:val="32"/>
        </w:rPr>
      </w:pPr>
    </w:p>
    <w:p w14:paraId="751DFFC4">
      <w:pPr>
        <w:ind w:firstLine="640" w:firstLineChars="200"/>
        <w:rPr>
          <w:rFonts w:hint="eastAsia" w:ascii="黑体" w:hAnsi="黑体" w:eastAsia="黑体"/>
          <w:sz w:val="32"/>
        </w:rPr>
      </w:pPr>
    </w:p>
    <w:p w14:paraId="05899B9A">
      <w:pPr>
        <w:ind w:firstLine="640" w:firstLineChars="200"/>
        <w:rPr>
          <w:rFonts w:hint="eastAsia" w:ascii="黑体" w:hAnsi="黑体" w:eastAsia="黑体"/>
          <w:sz w:val="32"/>
        </w:rPr>
      </w:pPr>
    </w:p>
    <w:p w14:paraId="3D80E184">
      <w:pPr>
        <w:ind w:firstLine="640" w:firstLineChars="200"/>
        <w:rPr>
          <w:rFonts w:hint="eastAsia" w:ascii="黑体" w:hAnsi="黑体" w:eastAsia="黑体"/>
          <w:sz w:val="32"/>
        </w:rPr>
      </w:pPr>
    </w:p>
    <w:p w14:paraId="0C7EE031">
      <w:pPr>
        <w:ind w:firstLine="640" w:firstLineChars="200"/>
        <w:rPr>
          <w:rFonts w:hint="eastAsia" w:ascii="黑体" w:hAnsi="黑体" w:eastAsia="黑体"/>
          <w:sz w:val="32"/>
        </w:rPr>
      </w:pPr>
    </w:p>
    <w:p w14:paraId="1AE9EFAD">
      <w:pPr>
        <w:ind w:firstLine="640" w:firstLineChars="200"/>
        <w:rPr>
          <w:rFonts w:hint="eastAsia" w:ascii="黑体" w:hAnsi="黑体" w:eastAsia="黑体"/>
          <w:sz w:val="32"/>
        </w:rPr>
      </w:pPr>
      <w:bookmarkStart w:id="0" w:name="_GoBack"/>
      <w:bookmarkEnd w:id="0"/>
      <w:r>
        <w:rPr>
          <w:rFonts w:hint="eastAsia" w:ascii="黑体" w:hAnsi="黑体" w:eastAsia="黑体"/>
          <w:sz w:val="32"/>
        </w:rPr>
        <w:t>六、一般公共预算财政拨款基本支出决算明细表</w:t>
      </w:r>
    </w:p>
    <w:p w14:paraId="1B9C81DD">
      <w:pPr>
        <w:jc w:val="center"/>
        <w:rPr>
          <w:rFonts w:hint="eastAsia" w:ascii="宋体" w:hAnsi="宋体" w:eastAsia="仿宋_GB2312"/>
          <w:color w:val="FF0000"/>
          <w:sz w:val="32"/>
          <w:szCs w:val="32"/>
          <w:lang w:val="en-US"/>
        </w:rPr>
      </w:pPr>
      <w:r>
        <w:rPr>
          <w:rFonts w:hint="eastAsia" w:ascii="宋体" w:hAnsi="宋体" w:eastAsia="仿宋_GB2312"/>
          <w:color w:val="FF0000"/>
          <w:sz w:val="32"/>
          <w:szCs w:val="32"/>
          <w:lang w:val="en-US"/>
        </w:rPr>
        <w:drawing>
          <wp:inline distT="0" distB="0" distL="0" distR="0">
            <wp:extent cx="5265420" cy="3101340"/>
            <wp:effectExtent l="0" t="0" r="0" b="0"/>
            <wp:docPr id="6" name="图片 38" descr="a20da78e4c2031735c4c56fafeeea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8" descr="a20da78e4c2031735c4c56fafeeea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65420" cy="3101340"/>
                    </a:xfrm>
                    <a:prstGeom prst="rect">
                      <a:avLst/>
                    </a:prstGeom>
                    <a:noFill/>
                    <a:ln>
                      <a:noFill/>
                    </a:ln>
                  </pic:spPr>
                </pic:pic>
              </a:graphicData>
            </a:graphic>
          </wp:inline>
        </w:drawing>
      </w:r>
    </w:p>
    <w:p w14:paraId="5E2EAFBC">
      <w:pPr>
        <w:ind w:firstLine="640" w:firstLineChars="200"/>
        <w:rPr>
          <w:rFonts w:ascii="宋体" w:hAnsi="宋体" w:eastAsia="仿宋_GB2312"/>
          <w:color w:val="FF0000"/>
          <w:sz w:val="32"/>
          <w:szCs w:val="32"/>
          <w:lang w:val="en-US" w:eastAsia="zh-CN"/>
        </w:rPr>
      </w:pPr>
    </w:p>
    <w:p w14:paraId="40189ED5">
      <w:pPr>
        <w:ind w:firstLine="640" w:firstLineChars="200"/>
        <w:rPr>
          <w:rFonts w:ascii="黑体" w:hAnsi="黑体" w:eastAsia="黑体"/>
          <w:sz w:val="32"/>
        </w:rPr>
      </w:pPr>
    </w:p>
    <w:p w14:paraId="0B921B90">
      <w:pPr>
        <w:ind w:firstLine="640" w:firstLineChars="200"/>
        <w:rPr>
          <w:rFonts w:ascii="黑体" w:hAnsi="黑体" w:eastAsia="黑体"/>
          <w:sz w:val="32"/>
        </w:rPr>
      </w:pPr>
    </w:p>
    <w:p w14:paraId="7F38100B">
      <w:pPr>
        <w:ind w:firstLine="640" w:firstLineChars="200"/>
        <w:rPr>
          <w:rFonts w:ascii="黑体" w:hAnsi="黑体" w:eastAsia="黑体"/>
          <w:sz w:val="32"/>
        </w:rPr>
      </w:pPr>
    </w:p>
    <w:p w14:paraId="24CC60B2">
      <w:pPr>
        <w:ind w:firstLine="640" w:firstLineChars="200"/>
        <w:rPr>
          <w:rFonts w:ascii="黑体" w:hAnsi="黑体" w:eastAsia="黑体"/>
          <w:sz w:val="32"/>
        </w:rPr>
      </w:pPr>
    </w:p>
    <w:p w14:paraId="4FA65951">
      <w:pPr>
        <w:ind w:firstLine="640" w:firstLineChars="200"/>
        <w:rPr>
          <w:rFonts w:ascii="黑体" w:hAnsi="黑体" w:eastAsia="黑体"/>
          <w:sz w:val="32"/>
        </w:rPr>
      </w:pPr>
    </w:p>
    <w:p w14:paraId="3BBD4B4C">
      <w:pPr>
        <w:ind w:firstLine="640" w:firstLineChars="200"/>
        <w:rPr>
          <w:rFonts w:ascii="黑体" w:hAnsi="黑体" w:eastAsia="黑体"/>
          <w:sz w:val="32"/>
        </w:rPr>
      </w:pPr>
    </w:p>
    <w:p w14:paraId="67FE7866">
      <w:pPr>
        <w:ind w:firstLine="640" w:firstLineChars="200"/>
        <w:rPr>
          <w:rFonts w:hint="eastAsia" w:ascii="黑体" w:hAnsi="黑体" w:eastAsia="黑体"/>
          <w:sz w:val="32"/>
        </w:rPr>
      </w:pPr>
    </w:p>
    <w:p w14:paraId="285DE06F">
      <w:pPr>
        <w:ind w:firstLine="640" w:firstLineChars="200"/>
        <w:rPr>
          <w:rFonts w:hint="eastAsia" w:ascii="黑体" w:hAnsi="黑体" w:eastAsia="黑体"/>
          <w:sz w:val="32"/>
        </w:rPr>
      </w:pPr>
    </w:p>
    <w:p w14:paraId="3477D412">
      <w:pPr>
        <w:ind w:firstLine="640" w:firstLineChars="200"/>
        <w:rPr>
          <w:rFonts w:hint="eastAsia" w:ascii="黑体" w:hAnsi="黑体" w:eastAsia="黑体"/>
          <w:sz w:val="32"/>
        </w:rPr>
      </w:pPr>
    </w:p>
    <w:p w14:paraId="740F96E5">
      <w:pPr>
        <w:ind w:firstLine="640" w:firstLineChars="200"/>
        <w:rPr>
          <w:rFonts w:hint="eastAsia" w:ascii="黑体" w:hAnsi="黑体" w:eastAsia="黑体"/>
          <w:sz w:val="32"/>
        </w:rPr>
      </w:pPr>
    </w:p>
    <w:p w14:paraId="151CBFA9">
      <w:pPr>
        <w:ind w:firstLine="640" w:firstLineChars="200"/>
        <w:rPr>
          <w:rFonts w:hint="eastAsia" w:ascii="黑体" w:hAnsi="黑体" w:eastAsia="黑体"/>
          <w:sz w:val="32"/>
        </w:rPr>
      </w:pPr>
    </w:p>
    <w:p w14:paraId="0AF1829A">
      <w:pPr>
        <w:ind w:firstLine="640" w:firstLineChars="200"/>
        <w:rPr>
          <w:rFonts w:hint="eastAsia" w:ascii="黑体" w:hAnsi="黑体" w:eastAsia="黑体"/>
          <w:sz w:val="32"/>
        </w:rPr>
      </w:pPr>
    </w:p>
    <w:p w14:paraId="6E2BF701">
      <w:pPr>
        <w:ind w:firstLine="640" w:firstLineChars="200"/>
        <w:rPr>
          <w:rFonts w:hint="eastAsia" w:ascii="黑体" w:hAnsi="黑体" w:eastAsia="黑体"/>
          <w:sz w:val="32"/>
        </w:rPr>
      </w:pPr>
      <w:r>
        <w:rPr>
          <w:rFonts w:hint="eastAsia" w:ascii="黑体" w:hAnsi="黑体" w:eastAsia="黑体"/>
          <w:sz w:val="32"/>
        </w:rPr>
        <w:t>七、政府性基金预算财政拨款收入支出决算表</w:t>
      </w:r>
    </w:p>
    <w:p w14:paraId="27AFCFE2">
      <w:pPr>
        <w:jc w:val="center"/>
        <w:rPr>
          <w:rFonts w:hint="eastAsia" w:ascii="宋体" w:hAnsi="宋体" w:eastAsia="仿宋_GB2312"/>
          <w:color w:val="FF0000"/>
          <w:sz w:val="32"/>
          <w:szCs w:val="32"/>
          <w:lang w:val="en-US"/>
        </w:rPr>
      </w:pPr>
      <w:r>
        <w:rPr>
          <w:rFonts w:hint="eastAsia" w:ascii="宋体" w:hAnsi="宋体" w:eastAsia="仿宋_GB2312"/>
          <w:color w:val="FF0000"/>
          <w:sz w:val="32"/>
          <w:szCs w:val="32"/>
          <w:lang w:val="en-US"/>
        </w:rPr>
        <w:drawing>
          <wp:inline distT="0" distB="0" distL="0" distR="0">
            <wp:extent cx="5273040" cy="2606040"/>
            <wp:effectExtent l="0" t="0" r="0" b="0"/>
            <wp:docPr id="7" name="图片 39" descr="ab02c5d2eac2e0b3ec7f9e3c834b0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9" descr="ab02c5d2eac2e0b3ec7f9e3c834b0e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3040" cy="2606040"/>
                    </a:xfrm>
                    <a:prstGeom prst="rect">
                      <a:avLst/>
                    </a:prstGeom>
                    <a:noFill/>
                    <a:ln>
                      <a:noFill/>
                    </a:ln>
                  </pic:spPr>
                </pic:pic>
              </a:graphicData>
            </a:graphic>
          </wp:inline>
        </w:drawing>
      </w:r>
    </w:p>
    <w:p w14:paraId="1EC6E7F2">
      <w:pPr>
        <w:ind w:firstLine="640" w:firstLineChars="200"/>
        <w:rPr>
          <w:rFonts w:ascii="宋体" w:hAnsi="宋体" w:eastAsia="仿宋_GB2312"/>
          <w:color w:val="FF0000"/>
          <w:sz w:val="32"/>
          <w:szCs w:val="32"/>
          <w:lang w:val="en-US" w:eastAsia="zh-CN"/>
        </w:rPr>
      </w:pPr>
    </w:p>
    <w:p w14:paraId="4FBCF665">
      <w:pPr>
        <w:ind w:firstLine="640" w:firstLineChars="200"/>
        <w:rPr>
          <w:rFonts w:ascii="黑体" w:hAnsi="黑体" w:eastAsia="黑体"/>
          <w:sz w:val="32"/>
        </w:rPr>
      </w:pPr>
    </w:p>
    <w:p w14:paraId="1F456579">
      <w:pPr>
        <w:ind w:firstLine="640" w:firstLineChars="200"/>
        <w:rPr>
          <w:rFonts w:ascii="黑体" w:hAnsi="黑体" w:eastAsia="黑体"/>
          <w:sz w:val="32"/>
        </w:rPr>
      </w:pPr>
    </w:p>
    <w:p w14:paraId="44529232">
      <w:pPr>
        <w:ind w:firstLine="640" w:firstLineChars="200"/>
        <w:rPr>
          <w:rFonts w:ascii="黑体" w:hAnsi="黑体" w:eastAsia="黑体"/>
          <w:sz w:val="32"/>
        </w:rPr>
      </w:pPr>
    </w:p>
    <w:p w14:paraId="2EBF6DB1">
      <w:pPr>
        <w:ind w:firstLine="640" w:firstLineChars="200"/>
        <w:rPr>
          <w:rFonts w:ascii="黑体" w:hAnsi="黑体" w:eastAsia="黑体"/>
          <w:sz w:val="32"/>
        </w:rPr>
      </w:pPr>
    </w:p>
    <w:p w14:paraId="00DFFDDD">
      <w:pPr>
        <w:ind w:firstLine="640" w:firstLineChars="200"/>
        <w:rPr>
          <w:rFonts w:ascii="黑体" w:hAnsi="黑体" w:eastAsia="黑体"/>
          <w:sz w:val="32"/>
        </w:rPr>
      </w:pPr>
    </w:p>
    <w:p w14:paraId="2C1AC39B">
      <w:pPr>
        <w:ind w:firstLine="640" w:firstLineChars="200"/>
        <w:rPr>
          <w:rFonts w:ascii="黑体" w:hAnsi="黑体" w:eastAsia="黑体"/>
          <w:sz w:val="32"/>
        </w:rPr>
      </w:pPr>
    </w:p>
    <w:p w14:paraId="19CECD41">
      <w:pPr>
        <w:ind w:firstLine="640" w:firstLineChars="200"/>
        <w:rPr>
          <w:rFonts w:ascii="黑体" w:hAnsi="黑体" w:eastAsia="黑体"/>
          <w:sz w:val="32"/>
        </w:rPr>
      </w:pPr>
    </w:p>
    <w:p w14:paraId="2DA50195">
      <w:pPr>
        <w:ind w:firstLine="640" w:firstLineChars="200"/>
        <w:rPr>
          <w:rFonts w:ascii="黑体" w:hAnsi="黑体" w:eastAsia="黑体"/>
          <w:sz w:val="32"/>
        </w:rPr>
      </w:pPr>
    </w:p>
    <w:p w14:paraId="2E3A6D7C">
      <w:pPr>
        <w:ind w:firstLine="640" w:firstLineChars="200"/>
        <w:rPr>
          <w:rFonts w:hint="eastAsia" w:ascii="黑体" w:hAnsi="黑体" w:eastAsia="黑体"/>
          <w:sz w:val="32"/>
        </w:rPr>
      </w:pPr>
    </w:p>
    <w:p w14:paraId="128700A9">
      <w:pPr>
        <w:ind w:firstLine="640" w:firstLineChars="200"/>
        <w:rPr>
          <w:rFonts w:hint="eastAsia" w:ascii="黑体" w:hAnsi="黑体" w:eastAsia="黑体"/>
          <w:sz w:val="32"/>
        </w:rPr>
      </w:pPr>
    </w:p>
    <w:p w14:paraId="6030FD9D">
      <w:pPr>
        <w:ind w:firstLine="640" w:firstLineChars="200"/>
        <w:rPr>
          <w:rFonts w:hint="eastAsia" w:ascii="黑体" w:hAnsi="黑体" w:eastAsia="黑体"/>
          <w:sz w:val="32"/>
        </w:rPr>
      </w:pPr>
    </w:p>
    <w:p w14:paraId="527E6AA8">
      <w:pPr>
        <w:ind w:firstLine="640" w:firstLineChars="200"/>
        <w:rPr>
          <w:rFonts w:hint="eastAsia" w:ascii="黑体" w:hAnsi="黑体" w:eastAsia="黑体"/>
          <w:sz w:val="32"/>
        </w:rPr>
      </w:pPr>
    </w:p>
    <w:p w14:paraId="56CE7F81">
      <w:pPr>
        <w:ind w:firstLine="640" w:firstLineChars="200"/>
        <w:rPr>
          <w:rFonts w:hint="eastAsia" w:ascii="黑体" w:hAnsi="黑体" w:eastAsia="黑体"/>
          <w:sz w:val="32"/>
        </w:rPr>
      </w:pPr>
    </w:p>
    <w:p w14:paraId="4AFE54D9">
      <w:pPr>
        <w:ind w:firstLine="1280" w:firstLineChars="400"/>
        <w:rPr>
          <w:rFonts w:hint="eastAsia" w:ascii="黑体" w:hAnsi="黑体" w:eastAsia="黑体"/>
          <w:sz w:val="32"/>
        </w:rPr>
      </w:pPr>
      <w:r>
        <w:rPr>
          <w:rFonts w:hint="eastAsia" w:ascii="黑体" w:hAnsi="黑体" w:eastAsia="黑体"/>
          <w:sz w:val="32"/>
        </w:rPr>
        <w:t>八、国有资本经营预算财政拨款支出决算表</w:t>
      </w:r>
    </w:p>
    <w:p w14:paraId="1A09F2A2">
      <w:pPr>
        <w:jc w:val="center"/>
        <w:rPr>
          <w:rFonts w:hint="eastAsia" w:ascii="宋体" w:hAnsi="宋体" w:eastAsia="仿宋_GB2312"/>
          <w:sz w:val="32"/>
        </w:rPr>
      </w:pPr>
      <w:r>
        <w:rPr>
          <w:rFonts w:hint="eastAsia" w:ascii="宋体" w:hAnsi="宋体" w:eastAsia="仿宋_GB2312"/>
          <w:sz w:val="32"/>
        </w:rPr>
        <w:drawing>
          <wp:inline distT="0" distB="0" distL="0" distR="0">
            <wp:extent cx="5273040" cy="2956560"/>
            <wp:effectExtent l="0" t="0" r="0" b="0"/>
            <wp:docPr id="8" name="图片 40" descr="5182cea373381388d4396b1d5a5f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0" descr="5182cea373381388d4396b1d5a5f5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3040" cy="2956560"/>
                    </a:xfrm>
                    <a:prstGeom prst="rect">
                      <a:avLst/>
                    </a:prstGeom>
                    <a:noFill/>
                    <a:ln>
                      <a:noFill/>
                    </a:ln>
                  </pic:spPr>
                </pic:pic>
              </a:graphicData>
            </a:graphic>
          </wp:inline>
        </w:drawing>
      </w:r>
    </w:p>
    <w:p w14:paraId="0AADF69D">
      <w:pPr>
        <w:ind w:firstLine="640" w:firstLineChars="200"/>
        <w:rPr>
          <w:rFonts w:ascii="宋体" w:hAnsi="宋体" w:eastAsia="仿宋_GB2312"/>
          <w:color w:val="FF0000"/>
          <w:sz w:val="32"/>
          <w:szCs w:val="32"/>
          <w:lang w:val="en-US" w:eastAsia="zh-CN"/>
        </w:rPr>
      </w:pPr>
    </w:p>
    <w:p w14:paraId="4EDA9CA2">
      <w:pPr>
        <w:ind w:firstLine="640" w:firstLineChars="200"/>
        <w:rPr>
          <w:rFonts w:ascii="黑体" w:hAnsi="黑体" w:eastAsia="黑体"/>
          <w:sz w:val="32"/>
        </w:rPr>
      </w:pPr>
    </w:p>
    <w:p w14:paraId="33B7C426">
      <w:pPr>
        <w:ind w:firstLine="640" w:firstLineChars="200"/>
        <w:rPr>
          <w:rFonts w:ascii="黑体" w:hAnsi="黑体" w:eastAsia="黑体"/>
          <w:sz w:val="32"/>
        </w:rPr>
      </w:pPr>
    </w:p>
    <w:p w14:paraId="2BECC2B8">
      <w:pPr>
        <w:ind w:firstLine="640" w:firstLineChars="200"/>
        <w:rPr>
          <w:rFonts w:ascii="黑体" w:hAnsi="黑体" w:eastAsia="黑体"/>
          <w:sz w:val="32"/>
        </w:rPr>
      </w:pPr>
    </w:p>
    <w:p w14:paraId="34F6C950">
      <w:pPr>
        <w:ind w:firstLine="640" w:firstLineChars="200"/>
        <w:rPr>
          <w:rFonts w:ascii="黑体" w:hAnsi="黑体" w:eastAsia="黑体"/>
          <w:sz w:val="32"/>
        </w:rPr>
      </w:pPr>
    </w:p>
    <w:p w14:paraId="7A95CBF0">
      <w:pPr>
        <w:ind w:firstLine="640" w:firstLineChars="200"/>
        <w:rPr>
          <w:rFonts w:ascii="黑体" w:hAnsi="黑体" w:eastAsia="黑体"/>
          <w:sz w:val="32"/>
        </w:rPr>
      </w:pPr>
    </w:p>
    <w:p w14:paraId="5FBDBA22">
      <w:pPr>
        <w:ind w:firstLine="640" w:firstLineChars="200"/>
        <w:rPr>
          <w:rFonts w:ascii="黑体" w:hAnsi="黑体" w:eastAsia="黑体"/>
          <w:sz w:val="32"/>
        </w:rPr>
      </w:pPr>
    </w:p>
    <w:p w14:paraId="0C9AA59D">
      <w:pPr>
        <w:ind w:firstLine="640" w:firstLineChars="200"/>
        <w:rPr>
          <w:rFonts w:ascii="黑体" w:hAnsi="黑体" w:eastAsia="黑体"/>
          <w:sz w:val="32"/>
        </w:rPr>
      </w:pPr>
    </w:p>
    <w:p w14:paraId="23D023CC">
      <w:pPr>
        <w:ind w:firstLine="640" w:firstLineChars="200"/>
        <w:rPr>
          <w:rFonts w:ascii="黑体" w:hAnsi="黑体" w:eastAsia="黑体"/>
          <w:sz w:val="32"/>
        </w:rPr>
      </w:pPr>
    </w:p>
    <w:p w14:paraId="02F9FF96">
      <w:pPr>
        <w:ind w:firstLine="640" w:firstLineChars="200"/>
        <w:rPr>
          <w:rFonts w:hint="eastAsia" w:ascii="黑体" w:hAnsi="黑体" w:eastAsia="黑体"/>
          <w:sz w:val="32"/>
        </w:rPr>
      </w:pPr>
    </w:p>
    <w:p w14:paraId="4BCED2FE">
      <w:pPr>
        <w:ind w:firstLine="640" w:firstLineChars="200"/>
        <w:rPr>
          <w:rFonts w:hint="eastAsia" w:ascii="黑体" w:hAnsi="黑体" w:eastAsia="黑体"/>
          <w:sz w:val="32"/>
        </w:rPr>
      </w:pPr>
    </w:p>
    <w:p w14:paraId="58812846">
      <w:pPr>
        <w:ind w:firstLine="640" w:firstLineChars="200"/>
        <w:rPr>
          <w:rFonts w:hint="eastAsia" w:ascii="黑体" w:hAnsi="黑体" w:eastAsia="黑体"/>
          <w:sz w:val="32"/>
        </w:rPr>
      </w:pPr>
    </w:p>
    <w:p w14:paraId="6DF2F9A4">
      <w:pPr>
        <w:ind w:firstLine="640" w:firstLineChars="200"/>
        <w:rPr>
          <w:rFonts w:hint="eastAsia" w:ascii="黑体" w:hAnsi="黑体" w:eastAsia="黑体"/>
          <w:sz w:val="32"/>
        </w:rPr>
      </w:pPr>
    </w:p>
    <w:p w14:paraId="18F55B18">
      <w:pPr>
        <w:ind w:firstLine="1280" w:firstLineChars="400"/>
        <w:rPr>
          <w:rFonts w:ascii="黑体" w:hAnsi="黑体" w:eastAsia="黑体"/>
          <w:sz w:val="32"/>
        </w:rPr>
      </w:pPr>
    </w:p>
    <w:p w14:paraId="1D5FFE38">
      <w:pPr>
        <w:ind w:firstLine="1280" w:firstLineChars="400"/>
        <w:rPr>
          <w:rFonts w:ascii="黑体" w:hAnsi="黑体" w:eastAsia="黑体"/>
          <w:sz w:val="32"/>
        </w:rPr>
      </w:pPr>
      <w:r>
        <w:rPr>
          <w:rFonts w:hint="eastAsia" w:ascii="黑体" w:hAnsi="黑体" w:eastAsia="黑体"/>
          <w:sz w:val="32"/>
        </w:rPr>
        <w:t>九、财政拨款“三公”经费支出决算表</w:t>
      </w:r>
    </w:p>
    <w:p w14:paraId="06A864B7">
      <w:pPr>
        <w:jc w:val="center"/>
        <w:rPr>
          <w:rFonts w:hint="eastAsia" w:ascii="宋体" w:hAnsi="宋体" w:eastAsia="仿宋_GB2312"/>
          <w:sz w:val="32"/>
        </w:rPr>
      </w:pPr>
      <w:r>
        <w:rPr>
          <w:rFonts w:hint="eastAsia" w:ascii="宋体" w:hAnsi="宋体" w:eastAsia="仿宋_GB2312"/>
          <w:sz w:val="32"/>
        </w:rPr>
        <w:drawing>
          <wp:inline distT="0" distB="0" distL="0" distR="0">
            <wp:extent cx="5273040" cy="1874520"/>
            <wp:effectExtent l="0" t="0" r="0" b="0"/>
            <wp:docPr id="9" name="图片 42" descr="ba879ee245f07df10ae8124ddbaf6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2" descr="ba879ee245f07df10ae8124ddbaf63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3040" cy="1874520"/>
                    </a:xfrm>
                    <a:prstGeom prst="rect">
                      <a:avLst/>
                    </a:prstGeom>
                    <a:noFill/>
                    <a:ln>
                      <a:noFill/>
                    </a:ln>
                  </pic:spPr>
                </pic:pic>
              </a:graphicData>
            </a:graphic>
          </wp:inline>
        </w:drawing>
      </w:r>
    </w:p>
    <w:p w14:paraId="052C8711">
      <w:pPr>
        <w:ind w:firstLine="640" w:firstLineChars="200"/>
        <w:rPr>
          <w:rFonts w:ascii="黑体" w:hAnsi="黑体" w:eastAsia="黑体"/>
          <w:sz w:val="32"/>
        </w:rPr>
      </w:pPr>
    </w:p>
    <w:p w14:paraId="18464EB3">
      <w:pPr>
        <w:ind w:firstLine="640" w:firstLineChars="200"/>
        <w:rPr>
          <w:rFonts w:ascii="黑体" w:hAnsi="黑体" w:eastAsia="黑体"/>
          <w:sz w:val="32"/>
        </w:rPr>
      </w:pPr>
    </w:p>
    <w:p w14:paraId="5C45F35B">
      <w:pPr>
        <w:ind w:firstLine="640" w:firstLineChars="200"/>
        <w:rPr>
          <w:rFonts w:ascii="黑体" w:hAnsi="黑体" w:eastAsia="黑体"/>
          <w:sz w:val="32"/>
        </w:rPr>
      </w:pPr>
    </w:p>
    <w:p w14:paraId="0295CB18">
      <w:pPr>
        <w:ind w:firstLine="640" w:firstLineChars="200"/>
        <w:rPr>
          <w:rFonts w:ascii="黑体" w:hAnsi="黑体" w:eastAsia="黑体"/>
          <w:sz w:val="32"/>
        </w:rPr>
      </w:pPr>
    </w:p>
    <w:p w14:paraId="479D13D0">
      <w:pPr>
        <w:ind w:firstLine="640" w:firstLineChars="200"/>
        <w:rPr>
          <w:rFonts w:ascii="黑体" w:hAnsi="黑体" w:eastAsia="黑体"/>
          <w:sz w:val="32"/>
        </w:rPr>
      </w:pPr>
    </w:p>
    <w:p w14:paraId="700DDFF7">
      <w:pPr>
        <w:ind w:firstLine="640" w:firstLineChars="200"/>
        <w:rPr>
          <w:rFonts w:ascii="黑体" w:hAnsi="黑体" w:eastAsia="黑体"/>
          <w:sz w:val="32"/>
        </w:rPr>
      </w:pPr>
    </w:p>
    <w:p w14:paraId="5F55E98F">
      <w:pPr>
        <w:ind w:firstLine="640" w:firstLineChars="200"/>
        <w:rPr>
          <w:rFonts w:ascii="黑体" w:hAnsi="黑体" w:eastAsia="黑体"/>
          <w:sz w:val="32"/>
        </w:rPr>
      </w:pPr>
    </w:p>
    <w:p w14:paraId="7DEE0343">
      <w:pPr>
        <w:ind w:firstLine="640" w:firstLineChars="200"/>
        <w:rPr>
          <w:rFonts w:ascii="黑体" w:hAnsi="黑体" w:eastAsia="黑体"/>
          <w:sz w:val="32"/>
        </w:rPr>
      </w:pPr>
    </w:p>
    <w:p w14:paraId="2F002C42">
      <w:pPr>
        <w:ind w:firstLine="640" w:firstLineChars="200"/>
        <w:rPr>
          <w:rFonts w:ascii="黑体" w:hAnsi="黑体" w:eastAsia="黑体"/>
          <w:sz w:val="32"/>
        </w:rPr>
      </w:pPr>
    </w:p>
    <w:p w14:paraId="34AEB0D3">
      <w:pPr>
        <w:ind w:firstLine="640" w:firstLineChars="200"/>
        <w:rPr>
          <w:rFonts w:ascii="黑体" w:hAnsi="黑体" w:eastAsia="黑体"/>
          <w:sz w:val="32"/>
        </w:rPr>
      </w:pPr>
    </w:p>
    <w:p w14:paraId="2CC2681E">
      <w:pPr>
        <w:rPr>
          <w:rFonts w:hint="eastAsia" w:ascii="黑体" w:hAnsi="黑体" w:eastAsia="黑体"/>
          <w:sz w:val="32"/>
        </w:rPr>
      </w:pPr>
    </w:p>
    <w:p w14:paraId="39211C18">
      <w:pPr>
        <w:rPr>
          <w:rFonts w:hint="eastAsia" w:ascii="黑体" w:hAnsi="黑体" w:eastAsia="黑体"/>
          <w:sz w:val="32"/>
        </w:rPr>
      </w:pPr>
    </w:p>
    <w:p w14:paraId="463F8C5A">
      <w:pPr>
        <w:rPr>
          <w:rFonts w:hint="eastAsia" w:ascii="黑体" w:hAnsi="黑体" w:eastAsia="黑体"/>
          <w:sz w:val="32"/>
        </w:rPr>
      </w:pPr>
    </w:p>
    <w:p w14:paraId="0EF8250D">
      <w:pPr>
        <w:ind w:firstLine="1600" w:firstLineChars="500"/>
        <w:rPr>
          <w:rFonts w:hint="eastAsia" w:ascii="黑体" w:hAnsi="黑体" w:eastAsia="黑体"/>
          <w:sz w:val="32"/>
        </w:rPr>
      </w:pPr>
    </w:p>
    <w:p w14:paraId="60B21AB8">
      <w:pPr>
        <w:ind w:firstLine="1600" w:firstLineChars="500"/>
        <w:rPr>
          <w:rFonts w:hint="eastAsia" w:ascii="黑体" w:hAnsi="黑体" w:eastAsia="黑体"/>
          <w:sz w:val="32"/>
        </w:rPr>
      </w:pPr>
    </w:p>
    <w:p w14:paraId="2BB7EB1F">
      <w:pPr>
        <w:ind w:firstLine="1600" w:firstLineChars="500"/>
        <w:rPr>
          <w:rFonts w:hint="eastAsia" w:ascii="黑体" w:hAnsi="黑体" w:eastAsia="黑体"/>
          <w:sz w:val="32"/>
        </w:rPr>
      </w:pPr>
    </w:p>
    <w:p w14:paraId="49C3DBC7">
      <w:pPr>
        <w:ind w:firstLine="1600" w:firstLineChars="500"/>
        <w:rPr>
          <w:rFonts w:hint="eastAsia" w:ascii="黑体" w:hAnsi="黑体" w:eastAsia="黑体"/>
          <w:sz w:val="32"/>
        </w:rPr>
      </w:pPr>
      <w:r>
        <w:rPr>
          <w:rFonts w:hint="eastAsia" w:ascii="黑体" w:hAnsi="黑体" w:eastAsia="黑体"/>
          <w:sz w:val="32"/>
        </w:rPr>
        <w:t>十、部门预算项目支出绩效自评表</w:t>
      </w:r>
    </w:p>
    <w:p w14:paraId="79D34120">
      <w:pPr>
        <w:ind w:firstLine="640" w:firstLineChars="200"/>
        <w:rPr>
          <w:rFonts w:ascii="黑体" w:hAnsi="黑体" w:eastAsia="黑体"/>
          <w:sz w:val="32"/>
        </w:rPr>
      </w:pPr>
    </w:p>
    <w:p w14:paraId="38764EAE">
      <w:pPr>
        <w:jc w:val="center"/>
        <w:rPr>
          <w:rFonts w:hint="eastAsia" w:ascii="宋体" w:hAnsi="宋体" w:eastAsia="仿宋_GB2312"/>
          <w:sz w:val="32"/>
        </w:rPr>
      </w:pPr>
      <w:r>
        <w:drawing>
          <wp:inline distT="0" distB="0" distL="0" distR="0">
            <wp:extent cx="4914900" cy="6256020"/>
            <wp:effectExtent l="0" t="0" r="0" b="0"/>
            <wp:docPr id="1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914900" cy="6256020"/>
                    </a:xfrm>
                    <a:prstGeom prst="rect">
                      <a:avLst/>
                    </a:prstGeom>
                    <a:noFill/>
                    <a:ln>
                      <a:noFill/>
                    </a:ln>
                    <a:effectLst/>
                  </pic:spPr>
                </pic:pic>
              </a:graphicData>
            </a:graphic>
          </wp:inline>
        </w:drawing>
      </w:r>
    </w:p>
    <w:p w14:paraId="2DB52BF9">
      <w:pPr>
        <w:jc w:val="center"/>
        <w:rPr>
          <w:rFonts w:hint="eastAsia" w:ascii="宋体" w:hAnsi="宋体" w:eastAsia="仿宋_GB2312"/>
          <w:sz w:val="44"/>
        </w:rPr>
      </w:pPr>
    </w:p>
    <w:p w14:paraId="1A64C33B">
      <w:pPr>
        <w:jc w:val="center"/>
        <w:rPr>
          <w:rFonts w:hint="eastAsia" w:ascii="宋体" w:hAnsi="宋体" w:eastAsia="仿宋_GB2312"/>
          <w:sz w:val="44"/>
        </w:rPr>
      </w:pPr>
    </w:p>
    <w:p w14:paraId="26A264C2">
      <w:pPr>
        <w:jc w:val="center"/>
        <w:rPr>
          <w:rFonts w:hint="eastAsia" w:ascii="宋体" w:hAnsi="宋体" w:eastAsia="仿宋_GB2312"/>
          <w:sz w:val="44"/>
        </w:rPr>
      </w:pPr>
    </w:p>
    <w:p w14:paraId="3F003467">
      <w:pPr>
        <w:jc w:val="center"/>
        <w:rPr>
          <w:rFonts w:hint="eastAsia" w:ascii="方正小标宋简体" w:hAnsi="宋体" w:eastAsia="方正小标宋简体"/>
          <w:sz w:val="44"/>
        </w:rPr>
      </w:pPr>
    </w:p>
    <w:p w14:paraId="05E729AA">
      <w:pPr>
        <w:jc w:val="center"/>
        <w:rPr>
          <w:rFonts w:hint="eastAsia" w:ascii="方正小标宋简体" w:hAnsi="宋体" w:eastAsia="方正小标宋简体"/>
          <w:sz w:val="44"/>
        </w:rPr>
      </w:pPr>
      <w:r>
        <w:rPr>
          <w:rFonts w:hint="eastAsia" w:ascii="方正小标宋简体" w:hAnsi="宋体" w:eastAsia="方正小标宋简体"/>
          <w:sz w:val="44"/>
        </w:rPr>
        <w:t>第三部分 2024年度部门决算情况说明</w:t>
      </w:r>
    </w:p>
    <w:p w14:paraId="103614DC">
      <w:pPr>
        <w:rPr>
          <w:rFonts w:hint="eastAsia" w:ascii="宋体" w:hAnsi="宋体" w:eastAsia="仿宋_GB2312"/>
          <w:sz w:val="32"/>
        </w:rPr>
      </w:pPr>
    </w:p>
    <w:p w14:paraId="05CAF4F2">
      <w:pPr>
        <w:rPr>
          <w:rFonts w:hint="eastAsia" w:ascii="黑体" w:hAnsi="黑体" w:eastAsia="黑体"/>
          <w:sz w:val="32"/>
        </w:rPr>
      </w:pPr>
      <w:r>
        <w:rPr>
          <w:rFonts w:hint="eastAsia" w:ascii="宋体" w:hAnsi="宋体" w:eastAsia="仿宋_GB2312"/>
          <w:sz w:val="32"/>
        </w:rPr>
        <w:t xml:space="preserve">    </w:t>
      </w:r>
      <w:r>
        <w:rPr>
          <w:rFonts w:hint="eastAsia" w:ascii="黑体" w:hAnsi="黑体" w:eastAsia="黑体"/>
          <w:sz w:val="32"/>
        </w:rPr>
        <w:t>一、</w:t>
      </w:r>
      <w:r>
        <w:rPr>
          <w:rFonts w:hint="eastAsia" w:ascii="黑体" w:hAnsi="黑体" w:eastAsia="黑体"/>
          <w:sz w:val="32"/>
          <w:szCs w:val="30"/>
        </w:rPr>
        <w:t>收入支出决算总体情况说明</w:t>
      </w:r>
    </w:p>
    <w:p w14:paraId="5623A428">
      <w:pPr>
        <w:ind w:firstLine="640" w:firstLineChars="200"/>
        <w:rPr>
          <w:rFonts w:hint="eastAsia" w:ascii="仿宋" w:hAnsi="仿宋" w:eastAsia="仿宋" w:cs="仿宋"/>
          <w:sz w:val="30"/>
          <w:szCs w:val="30"/>
        </w:rPr>
      </w:pPr>
      <w:r>
        <w:rPr>
          <w:rFonts w:hint="eastAsia" w:ascii="仿宋" w:hAnsi="仿宋" w:eastAsia="仿宋" w:cs="仿宋"/>
          <w:sz w:val="32"/>
        </w:rPr>
        <w:t>2024年度收、支总计均为</w:t>
      </w:r>
      <w:r>
        <w:rPr>
          <w:rFonts w:hint="eastAsia" w:ascii="仿宋" w:hAnsi="仿宋" w:eastAsia="仿宋" w:cs="仿宋"/>
          <w:sz w:val="32"/>
          <w:szCs w:val="30"/>
        </w:rPr>
        <w:t>3731.11万元。与2023年度相比，收、支总计各减少601.72万元，降低13.89 %。主要原因：减少在职转退休人员</w:t>
      </w:r>
      <w:r>
        <w:rPr>
          <w:rFonts w:hint="eastAsia" w:ascii="仿宋" w:hAnsi="仿宋" w:eastAsia="仿宋" w:cs="仿宋"/>
          <w:spacing w:val="-10"/>
          <w:sz w:val="30"/>
          <w:szCs w:val="30"/>
        </w:rPr>
        <w:t>工资、社保、医保、住房公积金及校舍维修等收支。</w:t>
      </w:r>
    </w:p>
    <w:p w14:paraId="305D6DDF">
      <w:pPr>
        <w:jc w:val="center"/>
        <w:rPr>
          <w:rFonts w:hint="eastAsia"/>
        </w:rPr>
      </w:pPr>
      <w:r>
        <w:rPr>
          <w:rFonts w:hint="eastAsia" w:asciiTheme="minorEastAsia" w:hAnsiTheme="minorEastAsia" w:eastAsiaTheme="minorEastAsia"/>
          <w:sz w:val="32"/>
          <w:szCs w:val="32"/>
        </w:rPr>
        <w:drawing>
          <wp:inline distT="0" distB="0" distL="0" distR="0">
            <wp:extent cx="4523740" cy="2451735"/>
            <wp:effectExtent l="0" t="0" r="10160" b="5715"/>
            <wp:docPr id="1962276503"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920C48">
      <w:pPr>
        <w:rPr>
          <w:rFonts w:hint="eastAsia" w:ascii="黑体" w:hAnsi="黑体" w:eastAsia="黑体"/>
          <w:sz w:val="32"/>
        </w:rPr>
      </w:pPr>
      <w:r>
        <w:rPr>
          <w:rFonts w:hint="eastAsia" w:ascii="宋体" w:hAnsi="宋体" w:eastAsia="仿宋_GB2312"/>
          <w:sz w:val="32"/>
        </w:rPr>
        <w:t xml:space="preserve">   </w:t>
      </w:r>
      <w:r>
        <w:rPr>
          <w:rFonts w:hint="eastAsia" w:ascii="黑体" w:hAnsi="黑体" w:eastAsia="黑体"/>
          <w:sz w:val="32"/>
        </w:rPr>
        <w:t xml:space="preserve"> 二、</w:t>
      </w:r>
      <w:r>
        <w:rPr>
          <w:rFonts w:hint="eastAsia" w:ascii="黑体" w:hAnsi="黑体" w:eastAsia="黑体"/>
          <w:sz w:val="32"/>
          <w:szCs w:val="30"/>
        </w:rPr>
        <w:t>收入决算情况说明</w:t>
      </w:r>
    </w:p>
    <w:p w14:paraId="4CEDD583">
      <w:pPr>
        <w:ind w:firstLine="640" w:firstLineChars="200"/>
        <w:rPr>
          <w:rFonts w:ascii="宋体" w:hAnsi="宋体" w:eastAsia="仿宋_GB2312"/>
          <w:sz w:val="32"/>
        </w:rPr>
      </w:pPr>
      <w:r>
        <w:rPr>
          <w:rFonts w:hint="eastAsia" w:ascii="仿宋" w:hAnsi="仿宋" w:eastAsia="仿宋" w:cs="仿宋"/>
          <w:sz w:val="32"/>
        </w:rPr>
        <w:t>本年收入合计3731.11万元，其中：财政拨款收入3702.24万元，比上年减少600.64万元，降低13.96 %，主要是</w:t>
      </w:r>
      <w:r>
        <w:rPr>
          <w:rFonts w:hint="eastAsia" w:ascii="仿宋" w:hAnsi="仿宋" w:eastAsia="仿宋" w:cs="仿宋"/>
          <w:sz w:val="32"/>
          <w:szCs w:val="30"/>
        </w:rPr>
        <w:t>减少在职转退休人员</w:t>
      </w:r>
      <w:r>
        <w:rPr>
          <w:rFonts w:hint="eastAsia" w:ascii="仿宋" w:hAnsi="仿宋" w:eastAsia="仿宋" w:cs="仿宋"/>
          <w:spacing w:val="-10"/>
          <w:sz w:val="30"/>
          <w:szCs w:val="30"/>
        </w:rPr>
        <w:t>工资、社保、医保、住房公积金及校舍维修等收入</w:t>
      </w:r>
      <w:r>
        <w:rPr>
          <w:rFonts w:hint="eastAsia" w:ascii="宋体" w:hAnsi="宋体" w:eastAsia="仿宋_GB2312"/>
          <w:sz w:val="32"/>
        </w:rPr>
        <w:t>；事业收入28.41万元，比</w:t>
      </w:r>
      <w:r>
        <w:rPr>
          <w:rFonts w:ascii="宋体" w:hAnsi="宋体" w:eastAsia="仿宋_GB2312"/>
          <w:sz w:val="32"/>
        </w:rPr>
        <w:t>上年</w:t>
      </w:r>
      <w:r>
        <w:rPr>
          <w:rFonts w:hint="eastAsia" w:ascii="宋体" w:hAnsi="宋体" w:eastAsia="仿宋_GB2312"/>
          <w:sz w:val="32"/>
        </w:rPr>
        <w:t>减</w:t>
      </w:r>
      <w:r>
        <w:rPr>
          <w:rFonts w:ascii="宋体" w:hAnsi="宋体" w:eastAsia="仿宋_GB2312"/>
          <w:sz w:val="32"/>
        </w:rPr>
        <w:t>少</w:t>
      </w:r>
      <w:r>
        <w:rPr>
          <w:rFonts w:hint="eastAsia" w:ascii="宋体" w:hAnsi="宋体" w:eastAsia="仿宋_GB2312"/>
          <w:sz w:val="32"/>
        </w:rPr>
        <w:t>1.19万</w:t>
      </w:r>
      <w:r>
        <w:rPr>
          <w:rFonts w:ascii="宋体" w:hAnsi="宋体" w:eastAsia="仿宋_GB2312"/>
          <w:sz w:val="32"/>
        </w:rPr>
        <w:t>元，</w:t>
      </w:r>
      <w:r>
        <w:rPr>
          <w:rFonts w:hint="eastAsia" w:ascii="宋体" w:hAnsi="宋体" w:eastAsia="仿宋_GB2312"/>
          <w:sz w:val="32"/>
        </w:rPr>
        <w:t>下</w:t>
      </w:r>
      <w:r>
        <w:rPr>
          <w:rFonts w:ascii="宋体" w:hAnsi="宋体" w:eastAsia="仿宋_GB2312"/>
          <w:sz w:val="32"/>
        </w:rPr>
        <w:t>降</w:t>
      </w:r>
      <w:r>
        <w:rPr>
          <w:rFonts w:hint="eastAsia" w:ascii="宋体" w:hAnsi="宋体" w:eastAsia="仿宋_GB2312"/>
          <w:sz w:val="32"/>
        </w:rPr>
        <w:t>4.02%，</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本年学生人数减少</w:t>
      </w:r>
      <w:r>
        <w:rPr>
          <w:rFonts w:hint="eastAsia" w:ascii="宋体" w:hAnsi="宋体" w:eastAsia="仿宋_GB2312"/>
          <w:sz w:val="32"/>
        </w:rPr>
        <w:t>；其他收入0.46万元，比</w:t>
      </w:r>
      <w:r>
        <w:rPr>
          <w:rFonts w:ascii="宋体" w:hAnsi="宋体" w:eastAsia="仿宋_GB2312"/>
          <w:sz w:val="32"/>
        </w:rPr>
        <w:t>上年增加</w:t>
      </w:r>
      <w:r>
        <w:rPr>
          <w:rFonts w:hint="eastAsia" w:ascii="宋体" w:hAnsi="宋体" w:eastAsia="仿宋_GB2312"/>
          <w:sz w:val="32"/>
        </w:rPr>
        <w:t>0.1万</w:t>
      </w:r>
      <w:r>
        <w:rPr>
          <w:rFonts w:ascii="宋体" w:hAnsi="宋体" w:eastAsia="仿宋_GB2312"/>
          <w:sz w:val="32"/>
        </w:rPr>
        <w:t>元，</w:t>
      </w:r>
      <w:r>
        <w:rPr>
          <w:rFonts w:hint="eastAsia" w:ascii="宋体" w:hAnsi="宋体" w:eastAsia="仿宋_GB2312"/>
          <w:sz w:val="32"/>
        </w:rPr>
        <w:t>增</w:t>
      </w:r>
      <w:r>
        <w:rPr>
          <w:rFonts w:ascii="宋体" w:hAnsi="宋体" w:eastAsia="仿宋_GB2312"/>
          <w:sz w:val="32"/>
        </w:rPr>
        <w:t>长</w:t>
      </w:r>
      <w:r>
        <w:rPr>
          <w:rFonts w:hint="eastAsia" w:ascii="宋体" w:hAnsi="宋体" w:eastAsia="仿宋_GB2312"/>
          <w:sz w:val="32"/>
        </w:rPr>
        <w:t>27.78 %，</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银行存款利息收入增加</w:t>
      </w:r>
      <w:r>
        <w:rPr>
          <w:rFonts w:hint="eastAsia" w:ascii="宋体" w:hAnsi="宋体" w:eastAsia="仿宋_GB2312"/>
          <w:sz w:val="32"/>
        </w:rPr>
        <w:t>。</w:t>
      </w:r>
    </w:p>
    <w:p w14:paraId="6D9D0971">
      <w:pPr>
        <w:jc w:val="center"/>
        <w:rPr>
          <w:rFonts w:hint="eastAsia" w:ascii="宋体" w:hAnsi="宋体" w:eastAsia="仿宋_GB2312"/>
          <w:sz w:val="32"/>
        </w:rPr>
      </w:pPr>
      <w:r>
        <w:rPr>
          <w:rFonts w:hint="eastAsia" w:asciiTheme="minorEastAsia" w:hAnsiTheme="minorEastAsia" w:eastAsiaTheme="minorEastAsia"/>
          <w:sz w:val="32"/>
          <w:szCs w:val="32"/>
        </w:rPr>
        <w:drawing>
          <wp:inline distT="0" distB="0" distL="0" distR="0">
            <wp:extent cx="4728845" cy="2273935"/>
            <wp:effectExtent l="0" t="0" r="14605" b="12065"/>
            <wp:docPr id="1773712918"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F9D09C">
      <w:pPr>
        <w:rPr>
          <w:rFonts w:hint="eastAsia" w:ascii="黑体" w:hAnsi="黑体" w:eastAsia="黑体"/>
          <w:sz w:val="32"/>
        </w:rPr>
      </w:pPr>
      <w:r>
        <w:rPr>
          <w:rFonts w:hint="eastAsia" w:ascii="黑体" w:hAnsi="黑体" w:eastAsia="黑体"/>
          <w:sz w:val="32"/>
        </w:rPr>
        <w:t xml:space="preserve">    三、</w:t>
      </w:r>
      <w:r>
        <w:rPr>
          <w:rFonts w:hint="eastAsia" w:ascii="黑体" w:hAnsi="黑体" w:eastAsia="黑体"/>
          <w:sz w:val="32"/>
          <w:szCs w:val="30"/>
        </w:rPr>
        <w:t>支出决算情况说明</w:t>
      </w:r>
    </w:p>
    <w:p w14:paraId="69C4E4A9">
      <w:pPr>
        <w:ind w:firstLine="640" w:firstLineChars="200"/>
        <w:rPr>
          <w:rFonts w:ascii="仿宋" w:hAnsi="仿宋" w:eastAsia="仿宋" w:cs="仿宋"/>
          <w:spacing w:val="-10"/>
          <w:sz w:val="30"/>
          <w:szCs w:val="30"/>
        </w:rPr>
      </w:pPr>
      <w:r>
        <w:rPr>
          <w:rFonts w:hint="eastAsia" w:ascii="宋体" w:hAnsi="宋体" w:eastAsia="仿宋_GB2312"/>
          <w:sz w:val="32"/>
        </w:rPr>
        <w:t>本</w:t>
      </w:r>
      <w:r>
        <w:rPr>
          <w:rFonts w:ascii="宋体" w:hAnsi="宋体" w:eastAsia="仿宋_GB2312"/>
          <w:sz w:val="32"/>
        </w:rPr>
        <w:t>年</w:t>
      </w:r>
      <w:r>
        <w:rPr>
          <w:rFonts w:hint="eastAsia" w:ascii="宋体" w:hAnsi="宋体" w:eastAsia="仿宋_GB2312"/>
          <w:sz w:val="32"/>
        </w:rPr>
        <w:t>支出合计3731.11万元，其中：基本支出3731.11万元，比</w:t>
      </w:r>
      <w:r>
        <w:rPr>
          <w:rFonts w:ascii="宋体" w:hAnsi="宋体" w:eastAsia="仿宋_GB2312"/>
          <w:sz w:val="32"/>
        </w:rPr>
        <w:t>上年</w:t>
      </w:r>
      <w:r>
        <w:rPr>
          <w:rFonts w:hint="eastAsia" w:ascii="仿宋" w:hAnsi="仿宋" w:eastAsia="仿宋" w:cs="仿宋"/>
          <w:sz w:val="32"/>
          <w:szCs w:val="30"/>
        </w:rPr>
        <w:t>减少601.72万元，降低13.89 %。主要原因：减少在职转退休人员</w:t>
      </w:r>
      <w:r>
        <w:rPr>
          <w:rFonts w:hint="eastAsia" w:ascii="仿宋" w:hAnsi="仿宋" w:eastAsia="仿宋" w:cs="仿宋"/>
          <w:spacing w:val="-10"/>
          <w:sz w:val="30"/>
          <w:szCs w:val="30"/>
        </w:rPr>
        <w:t>工资、社保、医保、住房公积金及校舍维修等支出。</w:t>
      </w:r>
    </w:p>
    <w:p w14:paraId="77119B07">
      <w:pPr>
        <w:jc w:val="center"/>
        <w:rPr>
          <w:rFonts w:hint="eastAsia" w:ascii="仿宋" w:hAnsi="仿宋" w:eastAsia="仿宋" w:cs="仿宋"/>
          <w:sz w:val="30"/>
          <w:szCs w:val="30"/>
        </w:rPr>
      </w:pPr>
      <w:r>
        <w:rPr>
          <w:rFonts w:hint="eastAsia" w:asciiTheme="minorEastAsia" w:hAnsiTheme="minorEastAsia" w:eastAsiaTheme="minorEastAsia"/>
          <w:sz w:val="32"/>
          <w:szCs w:val="32"/>
        </w:rPr>
        <w:drawing>
          <wp:inline distT="0" distB="0" distL="0" distR="0">
            <wp:extent cx="4660265" cy="2273935"/>
            <wp:effectExtent l="0" t="0" r="6985" b="12065"/>
            <wp:docPr id="1966065406"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23DDEED">
      <w:pPr>
        <w:rPr>
          <w:rFonts w:hint="eastAsia" w:ascii="黑体" w:hAnsi="黑体" w:eastAsia="黑体"/>
          <w:sz w:val="32"/>
        </w:rPr>
      </w:pPr>
      <w:r>
        <w:rPr>
          <w:rFonts w:hint="eastAsia" w:ascii="宋体" w:hAnsi="宋体" w:eastAsia="仿宋_GB2312"/>
          <w:sz w:val="32"/>
        </w:rPr>
        <w:t xml:space="preserve">    </w:t>
      </w:r>
      <w:r>
        <w:rPr>
          <w:rFonts w:hint="eastAsia" w:ascii="黑体" w:hAnsi="黑体" w:eastAsia="黑体"/>
          <w:sz w:val="32"/>
        </w:rPr>
        <w:t>四、</w:t>
      </w:r>
      <w:r>
        <w:rPr>
          <w:rFonts w:hint="eastAsia" w:ascii="黑体" w:hAnsi="黑体" w:eastAsia="黑体"/>
          <w:sz w:val="32"/>
          <w:szCs w:val="30"/>
        </w:rPr>
        <w:t>财政拨款收入支出决算总体情况说明</w:t>
      </w:r>
    </w:p>
    <w:p w14:paraId="0A9DF46E">
      <w:pPr>
        <w:ind w:firstLine="640" w:firstLineChars="200"/>
        <w:rPr>
          <w:rFonts w:hint="eastAsia" w:ascii="仿宋" w:hAnsi="仿宋" w:eastAsia="仿宋" w:cs="仿宋"/>
          <w:sz w:val="30"/>
          <w:szCs w:val="30"/>
        </w:rPr>
      </w:pPr>
      <w:r>
        <w:rPr>
          <w:rFonts w:hint="eastAsia" w:ascii="宋体" w:hAnsi="宋体" w:eastAsia="仿宋_GB2312"/>
          <w:sz w:val="32"/>
        </w:rPr>
        <w:t>2024年</w:t>
      </w:r>
      <w:r>
        <w:rPr>
          <w:rFonts w:hint="eastAsia" w:ascii="宋体" w:hAnsi="宋体" w:eastAsia="仿宋_GB2312"/>
          <w:sz w:val="32"/>
          <w:szCs w:val="30"/>
        </w:rPr>
        <w:t>度财政拨款收、支总计均为3702.24万元，与2023年相比，财政拨款收、支总计各</w:t>
      </w:r>
      <w:r>
        <w:rPr>
          <w:rFonts w:hint="eastAsia" w:ascii="仿宋" w:hAnsi="仿宋" w:eastAsia="仿宋" w:cs="仿宋"/>
          <w:sz w:val="32"/>
        </w:rPr>
        <w:t>减少600.64万元，降低13.96 %，主要是</w:t>
      </w:r>
      <w:r>
        <w:rPr>
          <w:rFonts w:hint="eastAsia" w:ascii="仿宋" w:hAnsi="仿宋" w:eastAsia="仿宋" w:cs="仿宋"/>
          <w:sz w:val="32"/>
          <w:szCs w:val="30"/>
        </w:rPr>
        <w:t>减少在职转退休人员</w:t>
      </w:r>
      <w:r>
        <w:rPr>
          <w:rFonts w:hint="eastAsia" w:ascii="仿宋" w:hAnsi="仿宋" w:eastAsia="仿宋" w:cs="仿宋"/>
          <w:spacing w:val="-10"/>
          <w:sz w:val="30"/>
          <w:szCs w:val="30"/>
        </w:rPr>
        <w:t>工资、社保、医保、住房公积金及校舍维修等收支。</w:t>
      </w:r>
    </w:p>
    <w:p w14:paraId="68B6DAA1">
      <w:pPr>
        <w:jc w:val="center"/>
        <w:rPr>
          <w:rFonts w:hint="eastAsia" w:ascii="宋体" w:hAnsi="宋体" w:eastAsia="仿宋_GB2312"/>
          <w:sz w:val="32"/>
          <w:szCs w:val="30"/>
        </w:rPr>
      </w:pPr>
      <w:r>
        <w:rPr>
          <w:rFonts w:hint="eastAsia" w:asciiTheme="minorEastAsia" w:hAnsiTheme="minorEastAsia" w:eastAsiaTheme="minorEastAsia"/>
          <w:sz w:val="32"/>
          <w:szCs w:val="32"/>
        </w:rPr>
        <w:drawing>
          <wp:inline distT="0" distB="0" distL="0" distR="0">
            <wp:extent cx="4639945" cy="2401570"/>
            <wp:effectExtent l="0" t="0" r="8255" b="17780"/>
            <wp:docPr id="1928284559"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8DCF040">
      <w:pPr>
        <w:rPr>
          <w:rFonts w:hint="eastAsia" w:ascii="黑体" w:hAnsi="黑体" w:eastAsia="黑体"/>
          <w:sz w:val="32"/>
        </w:rPr>
      </w:pPr>
      <w:r>
        <w:rPr>
          <w:rFonts w:hint="eastAsia" w:ascii="宋体" w:hAnsi="宋体" w:eastAsia="仿宋_GB2312"/>
          <w:sz w:val="32"/>
        </w:rPr>
        <w:t xml:space="preserve">    </w:t>
      </w:r>
      <w:r>
        <w:rPr>
          <w:rFonts w:hint="eastAsia" w:ascii="黑体" w:hAnsi="黑体" w:eastAsia="黑体"/>
          <w:sz w:val="32"/>
        </w:rPr>
        <w:t>五、</w:t>
      </w:r>
      <w:r>
        <w:rPr>
          <w:rFonts w:hint="eastAsia" w:ascii="黑体" w:hAnsi="黑体" w:eastAsia="黑体"/>
          <w:sz w:val="32"/>
          <w:szCs w:val="30"/>
        </w:rPr>
        <w:t>一般公共预算财政拨款支出决算情况说明</w:t>
      </w:r>
    </w:p>
    <w:p w14:paraId="4EF9C08F">
      <w:pPr>
        <w:ind w:firstLine="643" w:firstLineChars="200"/>
        <w:rPr>
          <w:rFonts w:hint="eastAsia" w:ascii="宋体" w:hAnsi="宋体" w:eastAsia="仿宋_GB2312"/>
          <w:b/>
          <w:bCs/>
          <w:sz w:val="32"/>
        </w:rPr>
      </w:pPr>
      <w:r>
        <w:rPr>
          <w:rFonts w:hint="eastAsia" w:ascii="宋体" w:hAnsi="宋体" w:eastAsia="仿宋_GB2312"/>
          <w:b/>
          <w:bCs/>
          <w:sz w:val="32"/>
        </w:rPr>
        <w:t>（一）一般公共预算财政拨款支出决算总体情况</w:t>
      </w:r>
    </w:p>
    <w:p w14:paraId="5E5D0AC9">
      <w:pPr>
        <w:ind w:firstLine="640" w:firstLineChars="200"/>
        <w:rPr>
          <w:rFonts w:hint="eastAsia" w:ascii="仿宋" w:hAnsi="仿宋" w:eastAsia="仿宋" w:cs="仿宋"/>
          <w:sz w:val="30"/>
          <w:szCs w:val="30"/>
        </w:rPr>
      </w:pPr>
      <w:r>
        <w:rPr>
          <w:rFonts w:hint="eastAsia" w:ascii="宋体" w:hAnsi="宋体" w:eastAsia="仿宋_GB2312"/>
          <w:sz w:val="32"/>
        </w:rPr>
        <w:t>2024年</w:t>
      </w:r>
      <w:r>
        <w:rPr>
          <w:rFonts w:hint="eastAsia" w:ascii="宋体" w:hAnsi="宋体" w:eastAsia="仿宋_GB2312"/>
          <w:sz w:val="32"/>
          <w:szCs w:val="30"/>
        </w:rPr>
        <w:t>度一般公共预算财政拨款支出3702.24万元，占本年支出合计的99.23%。与2023年度相比，一般公共预算财政拨款支出</w:t>
      </w:r>
      <w:r>
        <w:rPr>
          <w:rFonts w:hint="eastAsia" w:ascii="仿宋" w:hAnsi="仿宋" w:eastAsia="仿宋" w:cs="仿宋"/>
          <w:sz w:val="32"/>
        </w:rPr>
        <w:t>减少600.64万元，降低13.96 %，主要是</w:t>
      </w:r>
      <w:r>
        <w:rPr>
          <w:rFonts w:hint="eastAsia" w:ascii="仿宋" w:hAnsi="仿宋" w:eastAsia="仿宋" w:cs="仿宋"/>
          <w:sz w:val="32"/>
          <w:szCs w:val="30"/>
        </w:rPr>
        <w:t>减少在职转退休人员</w:t>
      </w:r>
      <w:r>
        <w:rPr>
          <w:rFonts w:hint="eastAsia" w:ascii="仿宋" w:hAnsi="仿宋" w:eastAsia="仿宋" w:cs="仿宋"/>
          <w:spacing w:val="-10"/>
          <w:sz w:val="30"/>
          <w:szCs w:val="30"/>
        </w:rPr>
        <w:t>工资、社保、医保、住房公积金及校舍维修等支出。</w:t>
      </w:r>
    </w:p>
    <w:p w14:paraId="437EBAA8">
      <w:pPr>
        <w:jc w:val="center"/>
        <w:rPr>
          <w:rFonts w:hint="eastAsia" w:ascii="宋体" w:hAnsi="宋体" w:eastAsia="仿宋_GB2312"/>
          <w:sz w:val="32"/>
          <w:szCs w:val="30"/>
        </w:rPr>
      </w:pPr>
      <w:r>
        <w:rPr>
          <w:rFonts w:hint="eastAsia" w:asciiTheme="minorEastAsia" w:hAnsiTheme="minorEastAsia" w:eastAsiaTheme="minorEastAsia"/>
          <w:sz w:val="32"/>
          <w:szCs w:val="32"/>
        </w:rPr>
        <w:drawing>
          <wp:inline distT="0" distB="0" distL="0" distR="0">
            <wp:extent cx="4639945" cy="2401570"/>
            <wp:effectExtent l="0" t="0" r="8255" b="17780"/>
            <wp:docPr id="59245789"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FCB975E">
      <w:pPr>
        <w:rPr>
          <w:rFonts w:hint="eastAsia" w:ascii="宋体" w:hAnsi="宋体" w:eastAsia="仿宋_GB2312"/>
          <w:b/>
          <w:bCs/>
          <w:sz w:val="32"/>
        </w:rPr>
      </w:pPr>
      <w:r>
        <w:rPr>
          <w:rFonts w:hint="eastAsia" w:ascii="宋体" w:hAnsi="宋体" w:eastAsia="仿宋_GB2312"/>
          <w:sz w:val="32"/>
        </w:rPr>
        <w:t xml:space="preserve">    </w:t>
      </w:r>
      <w:r>
        <w:rPr>
          <w:rFonts w:hint="eastAsia" w:ascii="宋体" w:hAnsi="宋体" w:eastAsia="仿宋_GB2312"/>
          <w:b/>
          <w:bCs/>
          <w:sz w:val="32"/>
        </w:rPr>
        <w:t>（二）一般公共预算财政拨款支出决算结构情况</w:t>
      </w:r>
    </w:p>
    <w:p w14:paraId="707AF744">
      <w:pPr>
        <w:spacing w:line="360" w:lineRule="auto"/>
        <w:ind w:firstLine="640" w:firstLineChars="200"/>
        <w:rPr>
          <w:rFonts w:ascii="仿宋" w:hAnsi="仿宋" w:eastAsia="仿宋" w:cs="仿宋"/>
          <w:sz w:val="32"/>
          <w:szCs w:val="32"/>
        </w:rPr>
      </w:pPr>
      <w:r>
        <w:rPr>
          <w:rFonts w:hint="eastAsia" w:ascii="宋体" w:hAnsi="宋体" w:eastAsia="仿宋_GB2312"/>
          <w:sz w:val="32"/>
          <w:szCs w:val="30"/>
        </w:rPr>
        <w:t>2024年度一般公共预算财政拨款支出3702.24万元，主要用于以下方面：</w:t>
      </w:r>
      <w:r>
        <w:rPr>
          <w:rFonts w:hint="eastAsia" w:ascii="仿宋" w:hAnsi="仿宋" w:eastAsia="仿宋" w:cs="仿宋"/>
          <w:sz w:val="32"/>
          <w:szCs w:val="32"/>
        </w:rPr>
        <w:t>教育（类）支出2982.51万元，占80.56%;社会保障和就业支出341.39万元，占9.22%；卫生健康支出152.52万元，占4.12%；住房保障支出225.81万元，占6.1%。</w:t>
      </w:r>
    </w:p>
    <w:p w14:paraId="13897E3D">
      <w:pPr>
        <w:spacing w:line="360" w:lineRule="auto"/>
        <w:jc w:val="center"/>
        <w:rPr>
          <w:rFonts w:hint="eastAsia" w:ascii="仿宋" w:hAnsi="仿宋" w:eastAsia="仿宋" w:cs="仿宋"/>
          <w:sz w:val="32"/>
          <w:szCs w:val="32"/>
        </w:rPr>
      </w:pPr>
      <w:r>
        <w:rPr>
          <w:rFonts w:hint="eastAsia" w:asciiTheme="minorEastAsia" w:hAnsiTheme="minorEastAsia" w:eastAsiaTheme="minorEastAsia"/>
          <w:sz w:val="32"/>
          <w:szCs w:val="32"/>
        </w:rPr>
        <w:drawing>
          <wp:inline distT="0" distB="0" distL="0" distR="0">
            <wp:extent cx="4707890" cy="2273935"/>
            <wp:effectExtent l="0" t="0" r="16510" b="12065"/>
            <wp:docPr id="819226243"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671EBB7">
      <w:pPr>
        <w:rPr>
          <w:rFonts w:hint="eastAsia" w:ascii="宋体" w:hAnsi="宋体" w:eastAsia="仿宋_GB2312"/>
          <w:b/>
          <w:bCs/>
          <w:sz w:val="32"/>
        </w:rPr>
      </w:pPr>
      <w:r>
        <w:rPr>
          <w:rFonts w:hint="eastAsia" w:ascii="宋体" w:hAnsi="宋体" w:eastAsia="仿宋_GB2312"/>
          <w:sz w:val="32"/>
        </w:rPr>
        <w:t xml:space="preserve">   </w:t>
      </w:r>
      <w:r>
        <w:rPr>
          <w:rFonts w:hint="eastAsia" w:ascii="宋体" w:hAnsi="宋体" w:eastAsia="仿宋_GB2312"/>
          <w:b/>
          <w:bCs/>
          <w:sz w:val="32"/>
        </w:rPr>
        <w:t xml:space="preserve"> （三）一般公共预算财政拨款支出决算具体情况</w:t>
      </w:r>
    </w:p>
    <w:p w14:paraId="1B6CB608">
      <w:pPr>
        <w:ind w:firstLine="640" w:firstLineChars="200"/>
        <w:rPr>
          <w:rFonts w:hint="eastAsia" w:ascii="宋体" w:hAnsi="宋体" w:eastAsia="仿宋_GB2312"/>
          <w:sz w:val="32"/>
          <w:szCs w:val="30"/>
        </w:rPr>
      </w:pPr>
      <w:r>
        <w:rPr>
          <w:rFonts w:hint="eastAsia" w:ascii="宋体" w:hAnsi="宋体" w:eastAsia="仿宋_GB2312"/>
          <w:sz w:val="32"/>
          <w:szCs w:val="30"/>
        </w:rPr>
        <w:t>2024年度一般公共预算财政拨款支出年初预算为3702.24万元，支出决算为3702.24万元，完成年初预算的100%。其中：</w:t>
      </w:r>
    </w:p>
    <w:p w14:paraId="34900F9F">
      <w:pPr>
        <w:spacing w:line="360" w:lineRule="auto"/>
        <w:ind w:firstLine="640" w:firstLineChars="200"/>
        <w:rPr>
          <w:rFonts w:hint="eastAsia" w:ascii="仿宋" w:hAnsi="仿宋" w:eastAsia="仿宋" w:cs="仿宋"/>
          <w:sz w:val="32"/>
        </w:rPr>
      </w:pPr>
      <w:r>
        <w:rPr>
          <w:rFonts w:hint="eastAsia" w:ascii="仿宋" w:hAnsi="仿宋" w:eastAsia="仿宋" w:cs="仿宋"/>
          <w:sz w:val="32"/>
        </w:rPr>
        <w:t>1.</w:t>
      </w:r>
      <w:r>
        <w:rPr>
          <w:rFonts w:hint="eastAsia" w:ascii="仿宋" w:hAnsi="仿宋" w:eastAsia="仿宋" w:cs="仿宋"/>
          <w:sz w:val="32"/>
          <w:szCs w:val="32"/>
        </w:rPr>
        <w:t xml:space="preserve"> 教育（类）支出</w:t>
      </w:r>
      <w:r>
        <w:rPr>
          <w:rFonts w:hint="eastAsia" w:ascii="仿宋" w:hAnsi="仿宋" w:eastAsia="仿宋" w:cs="仿宋"/>
          <w:sz w:val="32"/>
          <w:szCs w:val="30"/>
        </w:rPr>
        <w:t>年初预算为2982.51万元，支出决算为2982.51万元，完成年初预算的100%。</w:t>
      </w:r>
    </w:p>
    <w:p w14:paraId="15B421E1">
      <w:pPr>
        <w:spacing w:line="360" w:lineRule="auto"/>
        <w:ind w:firstLine="640" w:firstLineChars="200"/>
        <w:rPr>
          <w:rFonts w:hint="eastAsia" w:ascii="仿宋" w:hAnsi="仿宋" w:eastAsia="仿宋" w:cs="仿宋"/>
          <w:sz w:val="32"/>
        </w:rPr>
      </w:pPr>
      <w:r>
        <w:rPr>
          <w:rFonts w:hint="eastAsia" w:ascii="仿宋" w:hAnsi="仿宋" w:eastAsia="仿宋" w:cs="仿宋"/>
          <w:sz w:val="32"/>
        </w:rPr>
        <w:t>2.</w:t>
      </w:r>
      <w:r>
        <w:rPr>
          <w:rFonts w:hint="eastAsia" w:ascii="仿宋" w:hAnsi="仿宋" w:eastAsia="仿宋" w:cs="仿宋"/>
          <w:sz w:val="32"/>
          <w:szCs w:val="32"/>
        </w:rPr>
        <w:t xml:space="preserve"> 社会保障和就业支出</w:t>
      </w:r>
      <w:r>
        <w:rPr>
          <w:rFonts w:hint="eastAsia" w:ascii="仿宋" w:hAnsi="仿宋" w:eastAsia="仿宋" w:cs="仿宋"/>
          <w:sz w:val="32"/>
          <w:szCs w:val="30"/>
        </w:rPr>
        <w:t>年初预算为341.39万元，支出决算为341.39万元，完成年初预算的100%。</w:t>
      </w:r>
    </w:p>
    <w:p w14:paraId="3A84636B">
      <w:pPr>
        <w:spacing w:line="360" w:lineRule="auto"/>
        <w:ind w:firstLine="640" w:firstLineChars="200"/>
        <w:rPr>
          <w:rFonts w:hint="eastAsia" w:ascii="仿宋" w:hAnsi="仿宋" w:eastAsia="仿宋" w:cs="仿宋"/>
          <w:sz w:val="32"/>
        </w:rPr>
      </w:pPr>
      <w:r>
        <w:rPr>
          <w:rFonts w:hint="eastAsia" w:ascii="仿宋" w:hAnsi="仿宋" w:eastAsia="仿宋" w:cs="仿宋"/>
          <w:sz w:val="32"/>
        </w:rPr>
        <w:t>3.</w:t>
      </w:r>
      <w:r>
        <w:rPr>
          <w:rFonts w:hint="eastAsia" w:ascii="仿宋" w:hAnsi="仿宋" w:eastAsia="仿宋" w:cs="仿宋"/>
          <w:sz w:val="32"/>
          <w:szCs w:val="32"/>
        </w:rPr>
        <w:t xml:space="preserve"> 卫生健康支出</w:t>
      </w:r>
      <w:r>
        <w:rPr>
          <w:rFonts w:hint="eastAsia" w:ascii="仿宋" w:hAnsi="仿宋" w:eastAsia="仿宋" w:cs="仿宋"/>
          <w:sz w:val="32"/>
          <w:szCs w:val="30"/>
        </w:rPr>
        <w:t>年初预算为152.52万元，支出决算为152.52万元，完成年初预算的100%</w:t>
      </w:r>
    </w:p>
    <w:p w14:paraId="03E6DFEF">
      <w:pPr>
        <w:spacing w:line="360" w:lineRule="auto"/>
        <w:ind w:firstLine="640" w:firstLineChars="200"/>
        <w:rPr>
          <w:rFonts w:hint="eastAsia" w:ascii="仿宋" w:hAnsi="仿宋" w:eastAsia="仿宋" w:cs="仿宋"/>
          <w:sz w:val="32"/>
        </w:rPr>
      </w:pPr>
      <w:r>
        <w:rPr>
          <w:rFonts w:hint="eastAsia" w:ascii="仿宋" w:hAnsi="仿宋" w:eastAsia="仿宋" w:cs="仿宋"/>
          <w:sz w:val="32"/>
          <w:szCs w:val="30"/>
        </w:rPr>
        <w:t>4.</w:t>
      </w:r>
      <w:r>
        <w:rPr>
          <w:rFonts w:hint="eastAsia" w:ascii="仿宋" w:hAnsi="仿宋" w:eastAsia="仿宋" w:cs="仿宋"/>
          <w:sz w:val="32"/>
          <w:szCs w:val="32"/>
        </w:rPr>
        <w:t xml:space="preserve"> 住房保障支出</w:t>
      </w:r>
      <w:r>
        <w:rPr>
          <w:rFonts w:hint="eastAsia" w:ascii="仿宋" w:hAnsi="仿宋" w:eastAsia="仿宋" w:cs="仿宋"/>
          <w:sz w:val="32"/>
          <w:szCs w:val="30"/>
        </w:rPr>
        <w:t>年初预算为225.81万元，支出决算为225.81万元，完成年初预算的100%</w:t>
      </w:r>
      <w:r>
        <w:rPr>
          <w:rFonts w:hint="eastAsia" w:ascii="仿宋" w:hAnsi="仿宋" w:eastAsia="仿宋" w:cs="仿宋"/>
          <w:sz w:val="32"/>
        </w:rPr>
        <w:t xml:space="preserve">    </w:t>
      </w:r>
    </w:p>
    <w:p w14:paraId="4B29820E">
      <w:pPr>
        <w:rPr>
          <w:rFonts w:hint="eastAsia" w:ascii="黑体" w:hAnsi="黑体" w:eastAsia="黑体"/>
          <w:sz w:val="32"/>
        </w:rPr>
      </w:pPr>
      <w:r>
        <w:rPr>
          <w:rFonts w:hint="eastAsia" w:ascii="宋体" w:hAnsi="宋体" w:eastAsia="仿宋_GB2312"/>
          <w:sz w:val="32"/>
        </w:rPr>
        <w:t xml:space="preserve">   </w:t>
      </w:r>
      <w:r>
        <w:rPr>
          <w:rFonts w:hint="eastAsia" w:ascii="黑体" w:hAnsi="黑体" w:eastAsia="黑体"/>
          <w:sz w:val="32"/>
        </w:rPr>
        <w:t xml:space="preserve">  六、</w:t>
      </w:r>
      <w:r>
        <w:rPr>
          <w:rFonts w:hint="eastAsia" w:ascii="黑体" w:hAnsi="黑体" w:eastAsia="黑体"/>
          <w:sz w:val="32"/>
          <w:szCs w:val="30"/>
        </w:rPr>
        <w:t>一般公共预算财政拨款基本支出决算情况说明</w:t>
      </w:r>
    </w:p>
    <w:p w14:paraId="126F2FB3">
      <w:pPr>
        <w:ind w:firstLine="640" w:firstLineChars="200"/>
        <w:rPr>
          <w:rFonts w:hint="eastAsia" w:ascii="宋体" w:hAnsi="宋体" w:eastAsia="仿宋_GB2312"/>
          <w:sz w:val="32"/>
          <w:szCs w:val="30"/>
        </w:rPr>
      </w:pPr>
      <w:r>
        <w:rPr>
          <w:rFonts w:hint="eastAsia" w:ascii="宋体" w:hAnsi="宋体" w:eastAsia="仿宋_GB2312"/>
          <w:sz w:val="32"/>
          <w:szCs w:val="30"/>
        </w:rPr>
        <w:t>2024年度一般公共预算财政拨款基本支出3702.24万元，其中：</w:t>
      </w:r>
    </w:p>
    <w:p w14:paraId="4E85ACFC">
      <w:pPr>
        <w:ind w:firstLine="643" w:firstLineChars="200"/>
        <w:rPr>
          <w:rFonts w:hint="eastAsia" w:ascii="宋体" w:hAnsi="宋体" w:eastAsia="仿宋_GB2312"/>
          <w:sz w:val="32"/>
          <w:szCs w:val="30"/>
        </w:rPr>
      </w:pPr>
      <w:r>
        <w:rPr>
          <w:rFonts w:hint="eastAsia" w:ascii="宋体" w:hAnsi="宋体" w:eastAsia="仿宋_GB2312"/>
          <w:b/>
          <w:sz w:val="32"/>
          <w:szCs w:val="30"/>
        </w:rPr>
        <w:t>人员经费</w:t>
      </w:r>
      <w:r>
        <w:rPr>
          <w:rFonts w:hint="eastAsia" w:ascii="宋体" w:hAnsi="宋体" w:eastAsia="仿宋_GB2312"/>
          <w:bCs/>
          <w:sz w:val="32"/>
          <w:szCs w:val="30"/>
        </w:rPr>
        <w:t>2915.34万元，</w:t>
      </w:r>
      <w:r>
        <w:rPr>
          <w:rFonts w:hint="eastAsia" w:ascii="宋体" w:hAnsi="宋体" w:eastAsia="仿宋_GB2312"/>
          <w:sz w:val="32"/>
          <w:szCs w:val="30"/>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和其他对个人和家庭的补助。</w:t>
      </w:r>
    </w:p>
    <w:p w14:paraId="794A19E8">
      <w:pPr>
        <w:ind w:firstLine="643" w:firstLineChars="200"/>
        <w:rPr>
          <w:rFonts w:hint="eastAsia" w:ascii="宋体" w:hAnsi="宋体" w:eastAsia="仿宋_GB2312"/>
          <w:sz w:val="32"/>
        </w:rPr>
      </w:pPr>
      <w:r>
        <w:rPr>
          <w:rFonts w:hint="eastAsia" w:ascii="宋体" w:hAnsi="宋体" w:eastAsia="仿宋_GB2312"/>
          <w:b/>
          <w:sz w:val="32"/>
        </w:rPr>
        <w:t>公用经费</w:t>
      </w:r>
      <w:r>
        <w:rPr>
          <w:rFonts w:hint="eastAsia" w:ascii="宋体" w:hAnsi="宋体" w:eastAsia="仿宋_GB2312"/>
          <w:bCs/>
          <w:sz w:val="32"/>
        </w:rPr>
        <w:t>786.9万元，</w:t>
      </w:r>
      <w:r>
        <w:rPr>
          <w:rFonts w:hint="eastAsia" w:ascii="宋体" w:hAnsi="宋体" w:eastAsia="仿宋_GB2312"/>
          <w:sz w:val="32"/>
        </w:rPr>
        <w:t>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房屋建筑物购建、办公设备购置、专用设备购置、基础设施建设、大型修缮、信息网络及软件购置更新、其他资本性支出。</w:t>
      </w:r>
    </w:p>
    <w:p w14:paraId="2AD0DBBC">
      <w:pPr>
        <w:ind w:firstLine="640" w:firstLineChars="200"/>
        <w:rPr>
          <w:rFonts w:hint="eastAsia" w:ascii="黑体" w:hAnsi="黑体" w:eastAsia="黑体"/>
          <w:sz w:val="32"/>
          <w:szCs w:val="30"/>
        </w:rPr>
      </w:pPr>
      <w:r>
        <w:rPr>
          <w:rFonts w:hint="eastAsia" w:ascii="黑体" w:hAnsi="黑体" w:eastAsia="黑体"/>
          <w:sz w:val="32"/>
        </w:rPr>
        <w:t>七、政府性基金预算财政拨款收入支出决算情况说明</w:t>
      </w:r>
    </w:p>
    <w:p w14:paraId="298A77EA">
      <w:pPr>
        <w:spacing w:before="260" w:line="360" w:lineRule="auto"/>
        <w:ind w:left="675"/>
        <w:rPr>
          <w:rFonts w:hint="eastAsia" w:ascii="仿宋" w:hAnsi="仿宋" w:eastAsia="仿宋" w:cs="仿宋"/>
          <w:sz w:val="32"/>
          <w:szCs w:val="32"/>
        </w:rPr>
      </w:pPr>
      <w:r>
        <w:rPr>
          <w:rFonts w:hint="eastAsia" w:ascii="仿宋" w:hAnsi="仿宋" w:eastAsia="仿宋" w:cs="仿宋"/>
          <w:sz w:val="32"/>
          <w:szCs w:val="30"/>
        </w:rPr>
        <w:t>2024年度</w:t>
      </w:r>
      <w:r>
        <w:rPr>
          <w:rFonts w:hint="eastAsia" w:ascii="仿宋" w:hAnsi="仿宋" w:eastAsia="仿宋" w:cs="仿宋"/>
          <w:sz w:val="32"/>
          <w:szCs w:val="32"/>
        </w:rPr>
        <w:t>没有该项决算的说明。</w:t>
      </w:r>
    </w:p>
    <w:p w14:paraId="402723D3">
      <w:pPr>
        <w:ind w:firstLine="640" w:firstLineChars="200"/>
        <w:rPr>
          <w:rFonts w:hint="eastAsia" w:ascii="黑体" w:hAnsi="黑体" w:eastAsia="黑体"/>
          <w:sz w:val="32"/>
        </w:rPr>
      </w:pPr>
      <w:r>
        <w:rPr>
          <w:rFonts w:hint="eastAsia" w:ascii="黑体" w:hAnsi="黑体" w:eastAsia="黑体"/>
          <w:sz w:val="32"/>
        </w:rPr>
        <w:t>八、国有资本经营预算财政拨款支出决算情况说明</w:t>
      </w:r>
    </w:p>
    <w:p w14:paraId="38962AFF">
      <w:pPr>
        <w:spacing w:before="260" w:line="360" w:lineRule="auto"/>
        <w:ind w:left="675"/>
        <w:rPr>
          <w:rFonts w:hint="eastAsia" w:ascii="仿宋" w:hAnsi="仿宋" w:eastAsia="仿宋" w:cs="仿宋"/>
          <w:sz w:val="32"/>
          <w:szCs w:val="32"/>
        </w:rPr>
      </w:pPr>
      <w:r>
        <w:rPr>
          <w:rFonts w:hint="eastAsia" w:ascii="仿宋" w:hAnsi="仿宋" w:eastAsia="仿宋" w:cs="仿宋"/>
          <w:sz w:val="32"/>
          <w:szCs w:val="30"/>
        </w:rPr>
        <w:t>2024年度</w:t>
      </w:r>
      <w:r>
        <w:rPr>
          <w:rFonts w:hint="eastAsia" w:ascii="仿宋" w:hAnsi="仿宋" w:eastAsia="仿宋" w:cs="仿宋"/>
          <w:sz w:val="32"/>
          <w:szCs w:val="32"/>
        </w:rPr>
        <w:t>没有该项决算的说明。</w:t>
      </w:r>
    </w:p>
    <w:p w14:paraId="73FC4E34">
      <w:pPr>
        <w:ind w:firstLine="640" w:firstLineChars="200"/>
        <w:rPr>
          <w:rFonts w:hint="eastAsia" w:ascii="黑体" w:hAnsi="黑体" w:eastAsia="黑体"/>
          <w:sz w:val="32"/>
        </w:rPr>
      </w:pPr>
      <w:r>
        <w:rPr>
          <w:rFonts w:hint="eastAsia" w:ascii="黑体" w:hAnsi="黑体" w:eastAsia="黑体"/>
          <w:sz w:val="32"/>
        </w:rPr>
        <w:t>九、</w:t>
      </w:r>
      <w:r>
        <w:rPr>
          <w:rFonts w:hint="eastAsia" w:ascii="黑体" w:hAnsi="黑体" w:eastAsia="黑体"/>
          <w:sz w:val="32"/>
          <w:szCs w:val="30"/>
        </w:rPr>
        <w:t>财政拨款“三公”经费支出决算情况说明</w:t>
      </w:r>
    </w:p>
    <w:p w14:paraId="31510B5D">
      <w:pPr>
        <w:spacing w:before="260" w:line="360" w:lineRule="auto"/>
        <w:ind w:left="675"/>
        <w:rPr>
          <w:rFonts w:hint="eastAsia" w:ascii="仿宋" w:hAnsi="仿宋" w:eastAsia="仿宋" w:cs="仿宋"/>
          <w:sz w:val="32"/>
          <w:szCs w:val="32"/>
        </w:rPr>
      </w:pPr>
      <w:r>
        <w:rPr>
          <w:rFonts w:hint="eastAsia" w:ascii="仿宋" w:hAnsi="仿宋" w:eastAsia="仿宋" w:cs="仿宋"/>
          <w:sz w:val="32"/>
          <w:szCs w:val="30"/>
        </w:rPr>
        <w:t>2024年度</w:t>
      </w:r>
      <w:r>
        <w:rPr>
          <w:rFonts w:hint="eastAsia" w:ascii="仿宋" w:hAnsi="仿宋" w:eastAsia="仿宋" w:cs="仿宋"/>
          <w:sz w:val="32"/>
          <w:szCs w:val="32"/>
        </w:rPr>
        <w:t>没有该项决算的说明。</w:t>
      </w:r>
    </w:p>
    <w:p w14:paraId="0D2DCCF9">
      <w:pPr>
        <w:ind w:firstLine="720" w:firstLineChars="225"/>
        <w:rPr>
          <w:rFonts w:ascii="黑体" w:hAnsi="黑体" w:eastAsia="黑体"/>
          <w:sz w:val="32"/>
        </w:rPr>
      </w:pPr>
      <w:r>
        <w:rPr>
          <w:rFonts w:hint="eastAsia" w:ascii="黑体" w:hAnsi="黑体" w:eastAsia="黑体"/>
          <w:sz w:val="32"/>
        </w:rPr>
        <w:t>十、</w:t>
      </w:r>
      <w:r>
        <w:rPr>
          <w:rFonts w:hint="eastAsia" w:ascii="黑体" w:hAnsi="黑体" w:eastAsia="黑体" w:cs="仿宋_GB2312"/>
          <w:sz w:val="32"/>
          <w:szCs w:val="32"/>
        </w:rPr>
        <w:t>关于</w:t>
      </w:r>
      <w:r>
        <w:rPr>
          <w:rFonts w:ascii="黑体" w:hAnsi="黑体" w:eastAsia="黑体" w:cs="仿宋_GB2312"/>
          <w:sz w:val="32"/>
          <w:szCs w:val="32"/>
          <w:lang w:val="en"/>
        </w:rPr>
        <w:t>202</w:t>
      </w:r>
      <w:r>
        <w:rPr>
          <w:rFonts w:hint="eastAsia" w:ascii="黑体" w:hAnsi="黑体" w:eastAsia="黑体" w:cs="仿宋_GB2312"/>
          <w:sz w:val="32"/>
          <w:szCs w:val="32"/>
        </w:rPr>
        <w:t>4</w:t>
      </w:r>
      <w:r>
        <w:rPr>
          <w:rFonts w:ascii="黑体" w:hAnsi="黑体" w:eastAsia="黑体" w:cs="仿宋_GB2312"/>
          <w:sz w:val="32"/>
          <w:szCs w:val="32"/>
          <w:lang w:val="en"/>
        </w:rPr>
        <w:t>年度</w:t>
      </w:r>
      <w:r>
        <w:rPr>
          <w:rFonts w:hint="eastAsia" w:ascii="黑体" w:hAnsi="黑体" w:eastAsia="黑体" w:cs="仿宋_GB2312"/>
          <w:sz w:val="32"/>
          <w:szCs w:val="32"/>
        </w:rPr>
        <w:t>绩效评价情况说明</w:t>
      </w:r>
    </w:p>
    <w:p w14:paraId="311D2C4C">
      <w:pPr>
        <w:spacing w:before="260" w:line="360" w:lineRule="auto"/>
        <w:ind w:left="675"/>
        <w:rPr>
          <w:rFonts w:hint="eastAsia" w:ascii="仿宋" w:hAnsi="仿宋" w:eastAsia="仿宋" w:cs="仿宋"/>
          <w:sz w:val="32"/>
          <w:szCs w:val="32"/>
        </w:rPr>
      </w:pPr>
      <w:r>
        <w:rPr>
          <w:rFonts w:hint="eastAsia" w:ascii="仿宋" w:hAnsi="仿宋" w:eastAsia="仿宋" w:cs="仿宋"/>
          <w:sz w:val="32"/>
          <w:szCs w:val="30"/>
        </w:rPr>
        <w:t>2024年度</w:t>
      </w:r>
      <w:r>
        <w:rPr>
          <w:rFonts w:hint="eastAsia" w:ascii="仿宋" w:hAnsi="仿宋" w:eastAsia="仿宋" w:cs="仿宋"/>
          <w:sz w:val="32"/>
          <w:szCs w:val="32"/>
        </w:rPr>
        <w:t>没有该项决算的说明。</w:t>
      </w:r>
    </w:p>
    <w:p w14:paraId="47393028">
      <w:pPr>
        <w:ind w:firstLine="640" w:firstLineChars="200"/>
        <w:rPr>
          <w:rFonts w:ascii="黑体" w:hAnsi="黑体" w:eastAsia="黑体"/>
          <w:sz w:val="32"/>
        </w:rPr>
      </w:pPr>
    </w:p>
    <w:p w14:paraId="77F9527C">
      <w:pPr>
        <w:ind w:firstLine="640" w:firstLineChars="200"/>
        <w:rPr>
          <w:rFonts w:hint="eastAsia" w:ascii="黑体" w:hAnsi="黑体" w:eastAsia="黑体"/>
          <w:sz w:val="32"/>
        </w:rPr>
      </w:pPr>
      <w:r>
        <w:rPr>
          <w:rFonts w:hint="eastAsia" w:ascii="黑体" w:hAnsi="黑体" w:eastAsia="黑体"/>
          <w:sz w:val="32"/>
        </w:rPr>
        <w:t>十一、其他重要事项情况说明</w:t>
      </w:r>
    </w:p>
    <w:p w14:paraId="32DE44BA">
      <w:pPr>
        <w:spacing w:before="260" w:line="360" w:lineRule="auto"/>
        <w:ind w:left="675"/>
        <w:rPr>
          <w:rFonts w:hint="eastAsia" w:ascii="仿宋" w:hAnsi="仿宋" w:eastAsia="仿宋" w:cs="仿宋"/>
          <w:sz w:val="32"/>
          <w:szCs w:val="32"/>
        </w:rPr>
      </w:pPr>
      <w:r>
        <w:rPr>
          <w:rFonts w:hint="eastAsia" w:ascii="仿宋" w:hAnsi="仿宋" w:eastAsia="仿宋" w:cs="仿宋"/>
          <w:sz w:val="32"/>
          <w:szCs w:val="30"/>
        </w:rPr>
        <w:t>2024年度</w:t>
      </w:r>
      <w:r>
        <w:rPr>
          <w:rFonts w:hint="eastAsia" w:ascii="仿宋" w:hAnsi="仿宋" w:eastAsia="仿宋" w:cs="仿宋"/>
          <w:sz w:val="32"/>
          <w:szCs w:val="32"/>
        </w:rPr>
        <w:t>没有该项决算的说明。</w:t>
      </w:r>
    </w:p>
    <w:p w14:paraId="13FF59C8">
      <w:pPr>
        <w:jc w:val="center"/>
        <w:rPr>
          <w:rFonts w:hint="eastAsia" w:ascii="方正小标宋简体" w:hAnsi="宋体" w:eastAsia="方正小标宋简体"/>
          <w:sz w:val="44"/>
        </w:rPr>
      </w:pPr>
    </w:p>
    <w:p w14:paraId="462408B3">
      <w:pPr>
        <w:jc w:val="center"/>
        <w:rPr>
          <w:rFonts w:hint="eastAsia" w:ascii="方正小标宋简体" w:hAnsi="宋体" w:eastAsia="方正小标宋简体"/>
          <w:sz w:val="44"/>
        </w:rPr>
      </w:pPr>
      <w:r>
        <w:rPr>
          <w:rFonts w:hint="eastAsia" w:ascii="方正小标宋简体" w:hAnsi="宋体" w:eastAsia="方正小标宋简体"/>
          <w:sz w:val="44"/>
        </w:rPr>
        <w:t>第四部分  名词解释</w:t>
      </w:r>
    </w:p>
    <w:p w14:paraId="6F6E99F5">
      <w:pPr>
        <w:ind w:firstLine="640" w:firstLineChars="200"/>
        <w:rPr>
          <w:rFonts w:hint="eastAsia" w:ascii="宋体" w:hAnsi="宋体" w:eastAsia="仿宋_GB2312"/>
          <w:sz w:val="32"/>
        </w:rPr>
      </w:pPr>
    </w:p>
    <w:p w14:paraId="01155188">
      <w:pPr>
        <w:ind w:firstLine="643" w:firstLineChars="200"/>
        <w:rPr>
          <w:rFonts w:hint="eastAsia" w:ascii="宋体" w:hAnsi="宋体" w:eastAsia="仿宋_GB2312"/>
          <w:sz w:val="32"/>
        </w:rPr>
      </w:pPr>
      <w:r>
        <w:rPr>
          <w:rFonts w:hint="eastAsia" w:ascii="宋体" w:hAnsi="宋体" w:eastAsia="仿宋_GB2312"/>
          <w:b/>
          <w:bCs/>
          <w:sz w:val="32"/>
        </w:rPr>
        <w:t>一、财政拨款收入：</w:t>
      </w:r>
      <w:r>
        <w:rPr>
          <w:rFonts w:hint="eastAsia" w:ascii="宋体" w:hAnsi="宋体" w:eastAsia="仿宋_GB2312"/>
          <w:sz w:val="32"/>
        </w:rPr>
        <w:t>指单位从同级财政部门取得的财政预算资金。</w:t>
      </w:r>
    </w:p>
    <w:p w14:paraId="29E575E5">
      <w:pPr>
        <w:ind w:firstLine="643" w:firstLineChars="200"/>
        <w:rPr>
          <w:rFonts w:hint="eastAsia" w:ascii="宋体" w:hAnsi="宋体" w:eastAsia="仿宋_GB2312"/>
          <w:sz w:val="32"/>
        </w:rPr>
      </w:pPr>
      <w:r>
        <w:rPr>
          <w:rFonts w:hint="eastAsia" w:ascii="宋体" w:hAnsi="宋体" w:eastAsia="仿宋_GB2312"/>
          <w:b/>
          <w:bCs/>
          <w:sz w:val="32"/>
        </w:rPr>
        <w:t>二、上级补助收入：</w:t>
      </w:r>
      <w:r>
        <w:rPr>
          <w:rFonts w:hint="eastAsia" w:ascii="宋体" w:hAnsi="宋体" w:eastAsia="仿宋_GB2312"/>
          <w:sz w:val="32"/>
        </w:rPr>
        <w:t>指从主管部门和上级单位取得的非财政补助收入。</w:t>
      </w:r>
    </w:p>
    <w:p w14:paraId="62E8A177">
      <w:pPr>
        <w:ind w:firstLine="643" w:firstLineChars="200"/>
        <w:rPr>
          <w:rFonts w:hint="eastAsia" w:ascii="宋体" w:hAnsi="宋体" w:eastAsia="仿宋_GB2312"/>
          <w:b/>
          <w:bCs/>
          <w:sz w:val="32"/>
        </w:rPr>
      </w:pPr>
      <w:r>
        <w:rPr>
          <w:rFonts w:hint="eastAsia" w:ascii="宋体" w:hAnsi="宋体" w:eastAsia="仿宋_GB2312"/>
          <w:b/>
          <w:bCs/>
          <w:sz w:val="32"/>
        </w:rPr>
        <w:t>三、事业收入：指事业单位开展专业业务活动及辅助活动取得的收入。</w:t>
      </w:r>
    </w:p>
    <w:p w14:paraId="11873E51">
      <w:pPr>
        <w:ind w:firstLine="643" w:firstLineChars="200"/>
        <w:rPr>
          <w:rFonts w:hint="eastAsia" w:ascii="宋体" w:hAnsi="宋体" w:eastAsia="仿宋_GB2312"/>
          <w:sz w:val="32"/>
        </w:rPr>
      </w:pPr>
      <w:r>
        <w:rPr>
          <w:rFonts w:hint="eastAsia" w:ascii="宋体" w:hAnsi="宋体" w:eastAsia="仿宋_GB2312"/>
          <w:b/>
          <w:bCs/>
          <w:sz w:val="32"/>
        </w:rPr>
        <w:t>四、经营收入：</w:t>
      </w:r>
      <w:r>
        <w:rPr>
          <w:rFonts w:hint="eastAsia" w:ascii="宋体" w:hAnsi="宋体" w:eastAsia="仿宋_GB2312"/>
          <w:sz w:val="32"/>
        </w:rPr>
        <w:t>指事业单位在专业业务活动及其辅助活动之外开展非独立核算经营活动取得的收入。</w:t>
      </w:r>
    </w:p>
    <w:p w14:paraId="0C6E70C3">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五、附属单位上缴收入：</w:t>
      </w:r>
      <w:r>
        <w:rPr>
          <w:rFonts w:hint="eastAsia" w:ascii="宋体" w:hAnsi="宋体" w:eastAsia="仿宋_GB2312"/>
          <w:sz w:val="32"/>
        </w:rPr>
        <w:t>指事业单位附属独立核算单位按照有关规定上缴的收入。</w:t>
      </w:r>
    </w:p>
    <w:p w14:paraId="03E89953">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六、其他收入：</w:t>
      </w:r>
      <w:r>
        <w:rPr>
          <w:rFonts w:hint="eastAsia" w:ascii="宋体" w:hAnsi="宋体" w:eastAsia="仿宋_GB2312"/>
          <w:sz w:val="32"/>
        </w:rPr>
        <w:t>指除上述收入以外的各项收入。包括未纳入财政预算或财政专户管理的投资收益、银行存款利息收入、租金收入、捐赠收入，现金盘盈收入、存货盘盈收入、收回已核销应收及预付款项、无法偿付的应付及预收款项，从省财政以外的同级单位取得的经费、从非省财政取得的经费，以及行政单位收到的财政专户管理资金等。</w:t>
      </w:r>
    </w:p>
    <w:p w14:paraId="0D4EA646">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七、使用非财政拨款结余（含专用结余）：</w:t>
      </w:r>
      <w:r>
        <w:rPr>
          <w:rFonts w:hint="eastAsia" w:ascii="宋体" w:hAnsi="宋体" w:eastAsia="仿宋_GB2312"/>
          <w:sz w:val="32"/>
        </w:rPr>
        <w:t>指事业单位按照预算管理要求使用非财政拨款结余弥补收支差额的金额，以及使用专用结余安排支出的金额。</w:t>
      </w:r>
    </w:p>
    <w:p w14:paraId="1D4D89D9">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八、年初结转和结余：</w:t>
      </w:r>
      <w:r>
        <w:rPr>
          <w:rFonts w:hint="eastAsia" w:ascii="宋体" w:hAnsi="宋体" w:eastAsia="仿宋_GB2312"/>
          <w:sz w:val="32"/>
        </w:rPr>
        <w:t>指单位以前年度尚未完成、结转到本年按有关规定用途继续使用的资金，或项目已完成等产生的结余资金。</w:t>
      </w:r>
    </w:p>
    <w:p w14:paraId="42AE0912">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九、结余分配：</w:t>
      </w:r>
      <w:r>
        <w:rPr>
          <w:rFonts w:hint="eastAsia" w:ascii="宋体" w:hAnsi="宋体" w:eastAsia="仿宋_GB2312"/>
          <w:sz w:val="32"/>
        </w:rPr>
        <w:t>指事业单位按照会计制度规定缴纳的所得税、提取的专用结余以及转入非财政拨款结余的金额等。</w:t>
      </w:r>
    </w:p>
    <w:p w14:paraId="299EDD12">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十、年末结转和结余：</w:t>
      </w:r>
      <w:r>
        <w:rPr>
          <w:rFonts w:hint="eastAsia" w:ascii="宋体" w:hAnsi="宋体" w:eastAsia="仿宋_GB2312"/>
          <w:sz w:val="32"/>
        </w:rPr>
        <w:t>指单位按有关规定结转到下年或以后年度继续使用的资金，或项目已完成等产生的结余资金。</w:t>
      </w:r>
    </w:p>
    <w:p w14:paraId="4E93B3BC">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十一、基本支出：</w:t>
      </w:r>
      <w:r>
        <w:rPr>
          <w:rFonts w:hint="eastAsia" w:ascii="宋体" w:hAnsi="宋体" w:eastAsia="仿宋_GB2312"/>
          <w:sz w:val="32"/>
        </w:rPr>
        <w:t>指为保障机构正常运转、完成日常工作任务而发生的人员支出和公用支出。</w:t>
      </w:r>
    </w:p>
    <w:p w14:paraId="136315FB">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十二、项目支出：</w:t>
      </w:r>
      <w:r>
        <w:rPr>
          <w:rFonts w:hint="eastAsia" w:ascii="宋体" w:hAnsi="宋体" w:eastAsia="仿宋_GB2312"/>
          <w:sz w:val="32"/>
        </w:rPr>
        <w:t>指在基本支出之外为完成特定行政任务或事业发展目标所发生的支出。</w:t>
      </w:r>
    </w:p>
    <w:p w14:paraId="5B4EFA20">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十三、经营支出：</w:t>
      </w:r>
      <w:r>
        <w:rPr>
          <w:rFonts w:hint="eastAsia" w:ascii="宋体" w:hAnsi="宋体" w:eastAsia="仿宋_GB2312"/>
          <w:sz w:val="32"/>
        </w:rPr>
        <w:t>指事业单位在专业业务活动及其辅助活动之外开展非独立核算经营活动发生的支出。</w:t>
      </w:r>
    </w:p>
    <w:p w14:paraId="7FDE8373">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十四、上缴上级支出：</w:t>
      </w:r>
      <w:r>
        <w:rPr>
          <w:rFonts w:hint="eastAsia" w:ascii="宋体" w:hAnsi="宋体" w:eastAsia="仿宋_GB2312"/>
          <w:sz w:val="32"/>
        </w:rPr>
        <w:t>指事业单位按照有关规定上缴上级单位的支出。</w:t>
      </w:r>
    </w:p>
    <w:p w14:paraId="1665CD37">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十五、对附属单位补助支出：</w:t>
      </w:r>
      <w:r>
        <w:rPr>
          <w:rFonts w:hint="eastAsia" w:ascii="宋体" w:hAnsi="宋体" w:eastAsia="仿宋_GB2312"/>
          <w:sz w:val="32"/>
        </w:rPr>
        <w:t>指事业单位用财政补助收入之外的收入对附属单位补助发生的支出。</w:t>
      </w:r>
    </w:p>
    <w:p w14:paraId="5A7E62F6">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十六、“三公”经费：</w:t>
      </w:r>
      <w:r>
        <w:rPr>
          <w:rFonts w:hint="eastAsia" w:ascii="宋体" w:hAnsi="宋体" w:eastAsia="仿宋_GB2312"/>
          <w:sz w:val="32"/>
        </w:rPr>
        <w:t>纳入省级财政预决算管理的“三公”经费，是指省级部门用财政拨款安排的因公出国（境）费、公务用车购置及运行维护费和公务接待费。是党政机关维持运转或完成特定工作任务所开支的相关支出，是政府行政开支的一部分。其中，因公出国（境）费反映公务出国（境）的国际旅费、国外城市间交通费、住宿费、伙食费、培训费、公杂费等支出；公务用车购置及运行费反映单位公务用车车辆购置支出（含车辆购置税）及燃料费、维修费、过桥过路费、保险费、安全奖励费等支出；公务接待费反映单位按规定开支的各类公务接待（含外宾接待）支出。</w:t>
      </w:r>
    </w:p>
    <w:p w14:paraId="3DA7691C">
      <w:pPr>
        <w:autoSpaceDN w:val="0"/>
        <w:spacing w:line="360" w:lineRule="auto"/>
        <w:ind w:firstLine="640" w:firstLineChars="200"/>
        <w:rPr>
          <w:rFonts w:hint="eastAsia" w:ascii="宋体" w:hAnsi="宋体" w:eastAsia="仿宋_GB2312"/>
          <w:color w:val="FF0000"/>
          <w:sz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2000000000000000000"/>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5B0D3">
    <w:pPr>
      <w:pStyle w:val="3"/>
      <w:framePr w:wrap="around" w:vAnchor="text" w:hAnchor="margin" w:xAlign="center" w:yAlign="top"/>
      <w:pBdr>
        <w:between w:val="none" w:color="auto" w:sz="0" w:space="0"/>
      </w:pBdr>
    </w:pPr>
    <w:r>
      <w:fldChar w:fldCharType="begin"/>
    </w:r>
    <w:r>
      <w:rPr>
        <w:rStyle w:val="8"/>
      </w:rPr>
      <w:instrText xml:space="preserve"> PAGE  </w:instrText>
    </w:r>
    <w:r>
      <w:fldChar w:fldCharType="separate"/>
    </w:r>
    <w:r>
      <w:rPr>
        <w:rStyle w:val="8"/>
        <w:lang w:val="en-US" w:eastAsia="zh-CN"/>
      </w:rPr>
      <w:t>27</w:t>
    </w:r>
    <w:r>
      <w:fldChar w:fldCharType="end"/>
    </w:r>
  </w:p>
  <w:p w14:paraId="514D54C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A6F263"/>
    <w:multiLevelType w:val="singleLevel"/>
    <w:tmpl w:val="63A6F263"/>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mMzlhYTEwYjQ4NGVkYjUzNzJkNGEyYmU2MDVkYjkifQ=="/>
  </w:docVars>
  <w:rsids>
    <w:rsidRoot w:val="00172A27"/>
    <w:rsid w:val="00006953"/>
    <w:rsid w:val="00022B70"/>
    <w:rsid w:val="00030718"/>
    <w:rsid w:val="0003327A"/>
    <w:rsid w:val="00036702"/>
    <w:rsid w:val="00041A8F"/>
    <w:rsid w:val="0004549D"/>
    <w:rsid w:val="00047CE0"/>
    <w:rsid w:val="00050162"/>
    <w:rsid w:val="0005421A"/>
    <w:rsid w:val="0005530B"/>
    <w:rsid w:val="000572A5"/>
    <w:rsid w:val="0006372F"/>
    <w:rsid w:val="00063AE7"/>
    <w:rsid w:val="00072F52"/>
    <w:rsid w:val="00076DE8"/>
    <w:rsid w:val="00077103"/>
    <w:rsid w:val="00082348"/>
    <w:rsid w:val="0008356C"/>
    <w:rsid w:val="00083FB6"/>
    <w:rsid w:val="0008670A"/>
    <w:rsid w:val="000A6810"/>
    <w:rsid w:val="000B1B78"/>
    <w:rsid w:val="000B328C"/>
    <w:rsid w:val="000C03D5"/>
    <w:rsid w:val="000C12C9"/>
    <w:rsid w:val="000C21F2"/>
    <w:rsid w:val="000C22EB"/>
    <w:rsid w:val="000C7028"/>
    <w:rsid w:val="000D4CF2"/>
    <w:rsid w:val="000D757E"/>
    <w:rsid w:val="000F2A3E"/>
    <w:rsid w:val="00111B98"/>
    <w:rsid w:val="001130A3"/>
    <w:rsid w:val="0011688D"/>
    <w:rsid w:val="00117E36"/>
    <w:rsid w:val="001226CF"/>
    <w:rsid w:val="001248D4"/>
    <w:rsid w:val="001264B5"/>
    <w:rsid w:val="0013320C"/>
    <w:rsid w:val="00136CB8"/>
    <w:rsid w:val="00140A6B"/>
    <w:rsid w:val="00142872"/>
    <w:rsid w:val="00142968"/>
    <w:rsid w:val="00144697"/>
    <w:rsid w:val="00151432"/>
    <w:rsid w:val="00157828"/>
    <w:rsid w:val="001635CE"/>
    <w:rsid w:val="00163C65"/>
    <w:rsid w:val="00166397"/>
    <w:rsid w:val="00166FC2"/>
    <w:rsid w:val="00170FC3"/>
    <w:rsid w:val="0017769B"/>
    <w:rsid w:val="00185171"/>
    <w:rsid w:val="001866B8"/>
    <w:rsid w:val="00187424"/>
    <w:rsid w:val="00191750"/>
    <w:rsid w:val="001978EC"/>
    <w:rsid w:val="001A0649"/>
    <w:rsid w:val="001A259D"/>
    <w:rsid w:val="001B0926"/>
    <w:rsid w:val="001B144F"/>
    <w:rsid w:val="001C4B44"/>
    <w:rsid w:val="001C4E91"/>
    <w:rsid w:val="001C68E1"/>
    <w:rsid w:val="001F79FB"/>
    <w:rsid w:val="002022DE"/>
    <w:rsid w:val="00212A9F"/>
    <w:rsid w:val="00212B4C"/>
    <w:rsid w:val="002264A4"/>
    <w:rsid w:val="00233B11"/>
    <w:rsid w:val="00244CA1"/>
    <w:rsid w:val="00246493"/>
    <w:rsid w:val="00261F22"/>
    <w:rsid w:val="00262F16"/>
    <w:rsid w:val="00270E45"/>
    <w:rsid w:val="0027266F"/>
    <w:rsid w:val="0027751F"/>
    <w:rsid w:val="0028501E"/>
    <w:rsid w:val="00286147"/>
    <w:rsid w:val="002A6494"/>
    <w:rsid w:val="002B0244"/>
    <w:rsid w:val="002B6AE9"/>
    <w:rsid w:val="002C1727"/>
    <w:rsid w:val="002C2730"/>
    <w:rsid w:val="002C498B"/>
    <w:rsid w:val="002C5026"/>
    <w:rsid w:val="002C6D45"/>
    <w:rsid w:val="002D2181"/>
    <w:rsid w:val="002D2794"/>
    <w:rsid w:val="002D4069"/>
    <w:rsid w:val="002D7E93"/>
    <w:rsid w:val="002E4EB7"/>
    <w:rsid w:val="002E7A9A"/>
    <w:rsid w:val="002E7EC1"/>
    <w:rsid w:val="002F1A7B"/>
    <w:rsid w:val="002F25F8"/>
    <w:rsid w:val="00303A54"/>
    <w:rsid w:val="00305FC6"/>
    <w:rsid w:val="0032074F"/>
    <w:rsid w:val="003278D8"/>
    <w:rsid w:val="00332E1F"/>
    <w:rsid w:val="00337B82"/>
    <w:rsid w:val="003405DB"/>
    <w:rsid w:val="003425BC"/>
    <w:rsid w:val="00346031"/>
    <w:rsid w:val="00350063"/>
    <w:rsid w:val="00352C50"/>
    <w:rsid w:val="00364EC7"/>
    <w:rsid w:val="003715CB"/>
    <w:rsid w:val="00372917"/>
    <w:rsid w:val="00374631"/>
    <w:rsid w:val="0038010F"/>
    <w:rsid w:val="0038572D"/>
    <w:rsid w:val="00392658"/>
    <w:rsid w:val="003A39C7"/>
    <w:rsid w:val="003A4DD4"/>
    <w:rsid w:val="003A5A95"/>
    <w:rsid w:val="003A5DB3"/>
    <w:rsid w:val="003A6E6A"/>
    <w:rsid w:val="003B3946"/>
    <w:rsid w:val="003C04E8"/>
    <w:rsid w:val="003C2237"/>
    <w:rsid w:val="003C2728"/>
    <w:rsid w:val="003D155C"/>
    <w:rsid w:val="003D59F5"/>
    <w:rsid w:val="003E2BA3"/>
    <w:rsid w:val="003E509A"/>
    <w:rsid w:val="00401605"/>
    <w:rsid w:val="0043637F"/>
    <w:rsid w:val="004371D0"/>
    <w:rsid w:val="00444539"/>
    <w:rsid w:val="00445D02"/>
    <w:rsid w:val="004477D7"/>
    <w:rsid w:val="00450D31"/>
    <w:rsid w:val="004510ED"/>
    <w:rsid w:val="00451246"/>
    <w:rsid w:val="0045262F"/>
    <w:rsid w:val="00456AB7"/>
    <w:rsid w:val="0045724A"/>
    <w:rsid w:val="00460E21"/>
    <w:rsid w:val="00470D60"/>
    <w:rsid w:val="00483B1C"/>
    <w:rsid w:val="004922D3"/>
    <w:rsid w:val="004A5146"/>
    <w:rsid w:val="004A6B9A"/>
    <w:rsid w:val="004B3C1F"/>
    <w:rsid w:val="004C026D"/>
    <w:rsid w:val="004C1D40"/>
    <w:rsid w:val="004D126F"/>
    <w:rsid w:val="004E1B38"/>
    <w:rsid w:val="00502032"/>
    <w:rsid w:val="00505022"/>
    <w:rsid w:val="005054EA"/>
    <w:rsid w:val="00511F70"/>
    <w:rsid w:val="00526FA8"/>
    <w:rsid w:val="005365FF"/>
    <w:rsid w:val="00545920"/>
    <w:rsid w:val="00552D11"/>
    <w:rsid w:val="00587513"/>
    <w:rsid w:val="005911F1"/>
    <w:rsid w:val="005922B2"/>
    <w:rsid w:val="005931CC"/>
    <w:rsid w:val="00593840"/>
    <w:rsid w:val="00595901"/>
    <w:rsid w:val="005A7848"/>
    <w:rsid w:val="005B04D5"/>
    <w:rsid w:val="005C3EFC"/>
    <w:rsid w:val="005C6473"/>
    <w:rsid w:val="005D420A"/>
    <w:rsid w:val="005E103C"/>
    <w:rsid w:val="005E131A"/>
    <w:rsid w:val="00603762"/>
    <w:rsid w:val="00607283"/>
    <w:rsid w:val="00613C24"/>
    <w:rsid w:val="00614BBE"/>
    <w:rsid w:val="0061645D"/>
    <w:rsid w:val="00621A6B"/>
    <w:rsid w:val="00625CB0"/>
    <w:rsid w:val="00633860"/>
    <w:rsid w:val="006401B4"/>
    <w:rsid w:val="00642EF0"/>
    <w:rsid w:val="0064350E"/>
    <w:rsid w:val="00650A40"/>
    <w:rsid w:val="00652E45"/>
    <w:rsid w:val="00657097"/>
    <w:rsid w:val="0066026A"/>
    <w:rsid w:val="00660D83"/>
    <w:rsid w:val="0066154D"/>
    <w:rsid w:val="00671591"/>
    <w:rsid w:val="006807CA"/>
    <w:rsid w:val="00682CD9"/>
    <w:rsid w:val="00683799"/>
    <w:rsid w:val="006837FA"/>
    <w:rsid w:val="00683BEC"/>
    <w:rsid w:val="00683F6C"/>
    <w:rsid w:val="00687F93"/>
    <w:rsid w:val="00690A07"/>
    <w:rsid w:val="00690FDF"/>
    <w:rsid w:val="00692A6B"/>
    <w:rsid w:val="00692A8E"/>
    <w:rsid w:val="0069338C"/>
    <w:rsid w:val="006951EE"/>
    <w:rsid w:val="006A729C"/>
    <w:rsid w:val="006B352C"/>
    <w:rsid w:val="006B50EE"/>
    <w:rsid w:val="006B521F"/>
    <w:rsid w:val="006B55BC"/>
    <w:rsid w:val="006C2B16"/>
    <w:rsid w:val="006D4085"/>
    <w:rsid w:val="006D6627"/>
    <w:rsid w:val="006F357C"/>
    <w:rsid w:val="00703132"/>
    <w:rsid w:val="007041F5"/>
    <w:rsid w:val="007256AC"/>
    <w:rsid w:val="0073510D"/>
    <w:rsid w:val="00735D33"/>
    <w:rsid w:val="007376D0"/>
    <w:rsid w:val="00742959"/>
    <w:rsid w:val="007444A7"/>
    <w:rsid w:val="00745EFB"/>
    <w:rsid w:val="00747CD1"/>
    <w:rsid w:val="00750112"/>
    <w:rsid w:val="007553B2"/>
    <w:rsid w:val="007739C9"/>
    <w:rsid w:val="007826B8"/>
    <w:rsid w:val="00786916"/>
    <w:rsid w:val="00790CC4"/>
    <w:rsid w:val="00797063"/>
    <w:rsid w:val="00797768"/>
    <w:rsid w:val="00797D83"/>
    <w:rsid w:val="007A0819"/>
    <w:rsid w:val="007A5D19"/>
    <w:rsid w:val="007A7776"/>
    <w:rsid w:val="007B0A5D"/>
    <w:rsid w:val="007B156A"/>
    <w:rsid w:val="007B3386"/>
    <w:rsid w:val="007C37FF"/>
    <w:rsid w:val="007C4AB8"/>
    <w:rsid w:val="007C4D4B"/>
    <w:rsid w:val="007D13A7"/>
    <w:rsid w:val="007D4353"/>
    <w:rsid w:val="007D536F"/>
    <w:rsid w:val="007D64E1"/>
    <w:rsid w:val="007E5C75"/>
    <w:rsid w:val="007F08FC"/>
    <w:rsid w:val="007F1A1C"/>
    <w:rsid w:val="00801633"/>
    <w:rsid w:val="00803989"/>
    <w:rsid w:val="00804332"/>
    <w:rsid w:val="00804691"/>
    <w:rsid w:val="0080772E"/>
    <w:rsid w:val="00810078"/>
    <w:rsid w:val="008136CF"/>
    <w:rsid w:val="00814FD0"/>
    <w:rsid w:val="00825E71"/>
    <w:rsid w:val="00831793"/>
    <w:rsid w:val="008376CC"/>
    <w:rsid w:val="00844952"/>
    <w:rsid w:val="00846256"/>
    <w:rsid w:val="0085070B"/>
    <w:rsid w:val="00867F10"/>
    <w:rsid w:val="00870AE1"/>
    <w:rsid w:val="008716FD"/>
    <w:rsid w:val="00871E39"/>
    <w:rsid w:val="00877B77"/>
    <w:rsid w:val="00890542"/>
    <w:rsid w:val="00890CAF"/>
    <w:rsid w:val="00891C77"/>
    <w:rsid w:val="008C4FC2"/>
    <w:rsid w:val="008D3F6B"/>
    <w:rsid w:val="008E10FD"/>
    <w:rsid w:val="0090403A"/>
    <w:rsid w:val="009059E5"/>
    <w:rsid w:val="00915519"/>
    <w:rsid w:val="00920A16"/>
    <w:rsid w:val="0092302E"/>
    <w:rsid w:val="00924273"/>
    <w:rsid w:val="00931C2B"/>
    <w:rsid w:val="009328B1"/>
    <w:rsid w:val="00936F17"/>
    <w:rsid w:val="009519C2"/>
    <w:rsid w:val="00955AC7"/>
    <w:rsid w:val="0099060F"/>
    <w:rsid w:val="009A070D"/>
    <w:rsid w:val="009A2F42"/>
    <w:rsid w:val="009A58BC"/>
    <w:rsid w:val="009A5928"/>
    <w:rsid w:val="009C0490"/>
    <w:rsid w:val="009C7F73"/>
    <w:rsid w:val="009D08EF"/>
    <w:rsid w:val="00A03D24"/>
    <w:rsid w:val="00A1592F"/>
    <w:rsid w:val="00A23DD0"/>
    <w:rsid w:val="00A272A2"/>
    <w:rsid w:val="00A276A9"/>
    <w:rsid w:val="00A3634D"/>
    <w:rsid w:val="00A40A7B"/>
    <w:rsid w:val="00A4633B"/>
    <w:rsid w:val="00A4642B"/>
    <w:rsid w:val="00A50FBF"/>
    <w:rsid w:val="00A53409"/>
    <w:rsid w:val="00A61B84"/>
    <w:rsid w:val="00A640B1"/>
    <w:rsid w:val="00A77B57"/>
    <w:rsid w:val="00A816B1"/>
    <w:rsid w:val="00A86393"/>
    <w:rsid w:val="00A8640D"/>
    <w:rsid w:val="00A925C8"/>
    <w:rsid w:val="00A92AEC"/>
    <w:rsid w:val="00A943EC"/>
    <w:rsid w:val="00AA310C"/>
    <w:rsid w:val="00AA3B36"/>
    <w:rsid w:val="00AA4948"/>
    <w:rsid w:val="00AA5C63"/>
    <w:rsid w:val="00AB0A7A"/>
    <w:rsid w:val="00AB4C89"/>
    <w:rsid w:val="00AB5C2B"/>
    <w:rsid w:val="00AC4905"/>
    <w:rsid w:val="00AC51BA"/>
    <w:rsid w:val="00AD22CE"/>
    <w:rsid w:val="00AD39D9"/>
    <w:rsid w:val="00AD5EE9"/>
    <w:rsid w:val="00AE2F18"/>
    <w:rsid w:val="00AE7387"/>
    <w:rsid w:val="00AE7E1D"/>
    <w:rsid w:val="00AF799A"/>
    <w:rsid w:val="00B03AA8"/>
    <w:rsid w:val="00B10EC3"/>
    <w:rsid w:val="00B131A9"/>
    <w:rsid w:val="00B223EE"/>
    <w:rsid w:val="00B2286B"/>
    <w:rsid w:val="00B260B9"/>
    <w:rsid w:val="00B27D41"/>
    <w:rsid w:val="00B30512"/>
    <w:rsid w:val="00B31EE0"/>
    <w:rsid w:val="00B453C4"/>
    <w:rsid w:val="00B50216"/>
    <w:rsid w:val="00B50549"/>
    <w:rsid w:val="00B51C36"/>
    <w:rsid w:val="00B52807"/>
    <w:rsid w:val="00B55436"/>
    <w:rsid w:val="00B66AF5"/>
    <w:rsid w:val="00B73AE8"/>
    <w:rsid w:val="00B77665"/>
    <w:rsid w:val="00B77953"/>
    <w:rsid w:val="00B846FC"/>
    <w:rsid w:val="00B94551"/>
    <w:rsid w:val="00BA7C8E"/>
    <w:rsid w:val="00BB07B2"/>
    <w:rsid w:val="00BC1F3B"/>
    <w:rsid w:val="00BD6972"/>
    <w:rsid w:val="00BE2F51"/>
    <w:rsid w:val="00BE4D2E"/>
    <w:rsid w:val="00BE536D"/>
    <w:rsid w:val="00BF48EA"/>
    <w:rsid w:val="00C05D3E"/>
    <w:rsid w:val="00C05F60"/>
    <w:rsid w:val="00C15975"/>
    <w:rsid w:val="00C17DD2"/>
    <w:rsid w:val="00C21D4C"/>
    <w:rsid w:val="00C24C7F"/>
    <w:rsid w:val="00C402FF"/>
    <w:rsid w:val="00C423BD"/>
    <w:rsid w:val="00C4685B"/>
    <w:rsid w:val="00C5078C"/>
    <w:rsid w:val="00C5230F"/>
    <w:rsid w:val="00C571EB"/>
    <w:rsid w:val="00C60D70"/>
    <w:rsid w:val="00C6430E"/>
    <w:rsid w:val="00C72521"/>
    <w:rsid w:val="00C75580"/>
    <w:rsid w:val="00C82919"/>
    <w:rsid w:val="00C847AE"/>
    <w:rsid w:val="00C95845"/>
    <w:rsid w:val="00CA0906"/>
    <w:rsid w:val="00CA0E16"/>
    <w:rsid w:val="00CA3E0E"/>
    <w:rsid w:val="00CA4885"/>
    <w:rsid w:val="00CA595F"/>
    <w:rsid w:val="00CB4FEC"/>
    <w:rsid w:val="00CB61D8"/>
    <w:rsid w:val="00CB6AF0"/>
    <w:rsid w:val="00CC0509"/>
    <w:rsid w:val="00CC24B1"/>
    <w:rsid w:val="00CD0BB8"/>
    <w:rsid w:val="00CD5A08"/>
    <w:rsid w:val="00CE4EF5"/>
    <w:rsid w:val="00D14895"/>
    <w:rsid w:val="00D200C1"/>
    <w:rsid w:val="00D21B92"/>
    <w:rsid w:val="00D23915"/>
    <w:rsid w:val="00D27C11"/>
    <w:rsid w:val="00D300F6"/>
    <w:rsid w:val="00D307DD"/>
    <w:rsid w:val="00D451E5"/>
    <w:rsid w:val="00D51553"/>
    <w:rsid w:val="00D56EEF"/>
    <w:rsid w:val="00D65B9D"/>
    <w:rsid w:val="00D66A2A"/>
    <w:rsid w:val="00D71A73"/>
    <w:rsid w:val="00D86406"/>
    <w:rsid w:val="00D94D7D"/>
    <w:rsid w:val="00DA0EF4"/>
    <w:rsid w:val="00DC3CFB"/>
    <w:rsid w:val="00DC4655"/>
    <w:rsid w:val="00DD0315"/>
    <w:rsid w:val="00DE37B1"/>
    <w:rsid w:val="00DE62E3"/>
    <w:rsid w:val="00DF42FE"/>
    <w:rsid w:val="00DF5524"/>
    <w:rsid w:val="00E002F7"/>
    <w:rsid w:val="00E004C9"/>
    <w:rsid w:val="00E064D0"/>
    <w:rsid w:val="00E14D32"/>
    <w:rsid w:val="00E167C1"/>
    <w:rsid w:val="00E17321"/>
    <w:rsid w:val="00E179BC"/>
    <w:rsid w:val="00E31020"/>
    <w:rsid w:val="00E418A0"/>
    <w:rsid w:val="00E433F8"/>
    <w:rsid w:val="00E4602A"/>
    <w:rsid w:val="00E50C67"/>
    <w:rsid w:val="00E57F91"/>
    <w:rsid w:val="00E6459D"/>
    <w:rsid w:val="00E66435"/>
    <w:rsid w:val="00E67C51"/>
    <w:rsid w:val="00E7159D"/>
    <w:rsid w:val="00E779DC"/>
    <w:rsid w:val="00E840DB"/>
    <w:rsid w:val="00E87005"/>
    <w:rsid w:val="00E93E7F"/>
    <w:rsid w:val="00E953D4"/>
    <w:rsid w:val="00EA6293"/>
    <w:rsid w:val="00EA6FB0"/>
    <w:rsid w:val="00EA7CD4"/>
    <w:rsid w:val="00EB293D"/>
    <w:rsid w:val="00EB38A1"/>
    <w:rsid w:val="00EB7D19"/>
    <w:rsid w:val="00EC57F0"/>
    <w:rsid w:val="00ED0C42"/>
    <w:rsid w:val="00ED3F2E"/>
    <w:rsid w:val="00EE00C5"/>
    <w:rsid w:val="00EF3AF1"/>
    <w:rsid w:val="00EF67DF"/>
    <w:rsid w:val="00F004F1"/>
    <w:rsid w:val="00F036BB"/>
    <w:rsid w:val="00F1086E"/>
    <w:rsid w:val="00F118BC"/>
    <w:rsid w:val="00F14E68"/>
    <w:rsid w:val="00F17C25"/>
    <w:rsid w:val="00F22561"/>
    <w:rsid w:val="00F226AF"/>
    <w:rsid w:val="00F26C3A"/>
    <w:rsid w:val="00F4669D"/>
    <w:rsid w:val="00F52FE6"/>
    <w:rsid w:val="00F6416E"/>
    <w:rsid w:val="00F701CB"/>
    <w:rsid w:val="00F7137C"/>
    <w:rsid w:val="00F74876"/>
    <w:rsid w:val="00F85853"/>
    <w:rsid w:val="00F85B50"/>
    <w:rsid w:val="00F86156"/>
    <w:rsid w:val="00F8701F"/>
    <w:rsid w:val="00F91F1A"/>
    <w:rsid w:val="00FB4192"/>
    <w:rsid w:val="00FC31A1"/>
    <w:rsid w:val="00FE2D45"/>
    <w:rsid w:val="00FE64BA"/>
    <w:rsid w:val="00FF644D"/>
    <w:rsid w:val="00FF71A7"/>
    <w:rsid w:val="01291CF3"/>
    <w:rsid w:val="013836B1"/>
    <w:rsid w:val="01C17C29"/>
    <w:rsid w:val="01D25F7D"/>
    <w:rsid w:val="02631927"/>
    <w:rsid w:val="02935584"/>
    <w:rsid w:val="039950F2"/>
    <w:rsid w:val="03AF0195"/>
    <w:rsid w:val="03EB5A73"/>
    <w:rsid w:val="045B3430"/>
    <w:rsid w:val="050474A7"/>
    <w:rsid w:val="051B5087"/>
    <w:rsid w:val="052D7500"/>
    <w:rsid w:val="056D7D0D"/>
    <w:rsid w:val="06BA67ED"/>
    <w:rsid w:val="078D0265"/>
    <w:rsid w:val="07BA0FF2"/>
    <w:rsid w:val="07D74041"/>
    <w:rsid w:val="08461F91"/>
    <w:rsid w:val="08E14DC5"/>
    <w:rsid w:val="099D2019"/>
    <w:rsid w:val="09ED7D19"/>
    <w:rsid w:val="09FC0338"/>
    <w:rsid w:val="0B365A8D"/>
    <w:rsid w:val="0B4C5D40"/>
    <w:rsid w:val="0C455F50"/>
    <w:rsid w:val="0C48384D"/>
    <w:rsid w:val="0DA93E4C"/>
    <w:rsid w:val="0E0B0D04"/>
    <w:rsid w:val="0E82019F"/>
    <w:rsid w:val="0E913F8C"/>
    <w:rsid w:val="0EC042D8"/>
    <w:rsid w:val="0EFA5D2F"/>
    <w:rsid w:val="0FD54E0B"/>
    <w:rsid w:val="10057FFD"/>
    <w:rsid w:val="10C74779"/>
    <w:rsid w:val="10DE2F25"/>
    <w:rsid w:val="115F0793"/>
    <w:rsid w:val="11E8486E"/>
    <w:rsid w:val="12277E38"/>
    <w:rsid w:val="12A612BB"/>
    <w:rsid w:val="12B83979"/>
    <w:rsid w:val="12CE5DDA"/>
    <w:rsid w:val="13281E39"/>
    <w:rsid w:val="14424B64"/>
    <w:rsid w:val="1451667D"/>
    <w:rsid w:val="149A7217"/>
    <w:rsid w:val="15C422A6"/>
    <w:rsid w:val="16215284"/>
    <w:rsid w:val="16BA16A6"/>
    <w:rsid w:val="17A9728B"/>
    <w:rsid w:val="17B3432A"/>
    <w:rsid w:val="18BD2904"/>
    <w:rsid w:val="18D2447F"/>
    <w:rsid w:val="18DD2B55"/>
    <w:rsid w:val="190350A8"/>
    <w:rsid w:val="19503578"/>
    <w:rsid w:val="19FB6DA2"/>
    <w:rsid w:val="1A011720"/>
    <w:rsid w:val="1A3056D8"/>
    <w:rsid w:val="1ABD4924"/>
    <w:rsid w:val="1B4C26D6"/>
    <w:rsid w:val="1B6A01A5"/>
    <w:rsid w:val="1B704521"/>
    <w:rsid w:val="1BBD09F3"/>
    <w:rsid w:val="1BF264AC"/>
    <w:rsid w:val="1C811E8C"/>
    <w:rsid w:val="1C833AB3"/>
    <w:rsid w:val="1CE741A3"/>
    <w:rsid w:val="1CF35D0C"/>
    <w:rsid w:val="1D5B5A38"/>
    <w:rsid w:val="1DCC0726"/>
    <w:rsid w:val="1DF24545"/>
    <w:rsid w:val="1E1160FD"/>
    <w:rsid w:val="1E9D4136"/>
    <w:rsid w:val="1EA81C47"/>
    <w:rsid w:val="1EB43A3C"/>
    <w:rsid w:val="1ED7600F"/>
    <w:rsid w:val="1F4D411B"/>
    <w:rsid w:val="1F7A571D"/>
    <w:rsid w:val="208A259E"/>
    <w:rsid w:val="216E09DF"/>
    <w:rsid w:val="21786EFC"/>
    <w:rsid w:val="22382A16"/>
    <w:rsid w:val="22685619"/>
    <w:rsid w:val="229E098A"/>
    <w:rsid w:val="22A9011F"/>
    <w:rsid w:val="235A30FF"/>
    <w:rsid w:val="235A39D9"/>
    <w:rsid w:val="2369129F"/>
    <w:rsid w:val="23824ACD"/>
    <w:rsid w:val="23E94167"/>
    <w:rsid w:val="242878FE"/>
    <w:rsid w:val="24AA776D"/>
    <w:rsid w:val="24B66733"/>
    <w:rsid w:val="24C96BE6"/>
    <w:rsid w:val="24DE2AB2"/>
    <w:rsid w:val="24EB7A4C"/>
    <w:rsid w:val="251730EB"/>
    <w:rsid w:val="25390094"/>
    <w:rsid w:val="254C4636"/>
    <w:rsid w:val="267C3C0F"/>
    <w:rsid w:val="26CA1E67"/>
    <w:rsid w:val="26D9681D"/>
    <w:rsid w:val="27615C36"/>
    <w:rsid w:val="276A0F6E"/>
    <w:rsid w:val="27F60471"/>
    <w:rsid w:val="286F7557"/>
    <w:rsid w:val="28CB487D"/>
    <w:rsid w:val="29A34F43"/>
    <w:rsid w:val="29B215CF"/>
    <w:rsid w:val="2A046C55"/>
    <w:rsid w:val="2A345118"/>
    <w:rsid w:val="2A6A1929"/>
    <w:rsid w:val="2A6D3A77"/>
    <w:rsid w:val="2B0C5E72"/>
    <w:rsid w:val="2B4F17D3"/>
    <w:rsid w:val="2B687DF3"/>
    <w:rsid w:val="2BD56AA4"/>
    <w:rsid w:val="2C740706"/>
    <w:rsid w:val="2C933EA5"/>
    <w:rsid w:val="2CA27B50"/>
    <w:rsid w:val="2CAA0F45"/>
    <w:rsid w:val="2CD54307"/>
    <w:rsid w:val="2CF649E8"/>
    <w:rsid w:val="2D140094"/>
    <w:rsid w:val="2D376497"/>
    <w:rsid w:val="2E3A1976"/>
    <w:rsid w:val="2E4733B9"/>
    <w:rsid w:val="2E663CE3"/>
    <w:rsid w:val="2E8E4319"/>
    <w:rsid w:val="2E973096"/>
    <w:rsid w:val="2E9C15FE"/>
    <w:rsid w:val="2FA9194B"/>
    <w:rsid w:val="2FDC43A0"/>
    <w:rsid w:val="2FE41633"/>
    <w:rsid w:val="2FF16D2E"/>
    <w:rsid w:val="303B6D52"/>
    <w:rsid w:val="30404DA3"/>
    <w:rsid w:val="311B2DB5"/>
    <w:rsid w:val="31200E48"/>
    <w:rsid w:val="312F40AC"/>
    <w:rsid w:val="31696AB3"/>
    <w:rsid w:val="3212787A"/>
    <w:rsid w:val="333E5CF6"/>
    <w:rsid w:val="33CE6DF1"/>
    <w:rsid w:val="33D2753F"/>
    <w:rsid w:val="33D5291B"/>
    <w:rsid w:val="34A343A7"/>
    <w:rsid w:val="34B67240"/>
    <w:rsid w:val="34BC093C"/>
    <w:rsid w:val="34DE5E1D"/>
    <w:rsid w:val="34ED4416"/>
    <w:rsid w:val="35720CEF"/>
    <w:rsid w:val="35A61CEB"/>
    <w:rsid w:val="360B58E8"/>
    <w:rsid w:val="36447551"/>
    <w:rsid w:val="368A773C"/>
    <w:rsid w:val="36B47E29"/>
    <w:rsid w:val="36EE7B2A"/>
    <w:rsid w:val="38D416BA"/>
    <w:rsid w:val="38F74948"/>
    <w:rsid w:val="3922614F"/>
    <w:rsid w:val="395E7574"/>
    <w:rsid w:val="3A201838"/>
    <w:rsid w:val="3A207555"/>
    <w:rsid w:val="3ABA6DAF"/>
    <w:rsid w:val="3B007FD0"/>
    <w:rsid w:val="3B60095D"/>
    <w:rsid w:val="3B824694"/>
    <w:rsid w:val="3BAA4295"/>
    <w:rsid w:val="3BF86E47"/>
    <w:rsid w:val="3C1C2D73"/>
    <w:rsid w:val="3C5926B5"/>
    <w:rsid w:val="3CBA7FA6"/>
    <w:rsid w:val="3D257AE9"/>
    <w:rsid w:val="3D4D1962"/>
    <w:rsid w:val="3D561BE0"/>
    <w:rsid w:val="3EAB28E4"/>
    <w:rsid w:val="3EBF597A"/>
    <w:rsid w:val="3F847C6B"/>
    <w:rsid w:val="3F8A54A4"/>
    <w:rsid w:val="3FFA71C8"/>
    <w:rsid w:val="401F5D22"/>
    <w:rsid w:val="404207E8"/>
    <w:rsid w:val="4057425D"/>
    <w:rsid w:val="4080075D"/>
    <w:rsid w:val="40B71CA9"/>
    <w:rsid w:val="40C80B50"/>
    <w:rsid w:val="416044FF"/>
    <w:rsid w:val="417267DD"/>
    <w:rsid w:val="41952491"/>
    <w:rsid w:val="41BE4B11"/>
    <w:rsid w:val="41F737C5"/>
    <w:rsid w:val="42161774"/>
    <w:rsid w:val="421C2E70"/>
    <w:rsid w:val="4244364D"/>
    <w:rsid w:val="42543E02"/>
    <w:rsid w:val="42812842"/>
    <w:rsid w:val="42E32929"/>
    <w:rsid w:val="430B188A"/>
    <w:rsid w:val="447D1A52"/>
    <w:rsid w:val="44840D0E"/>
    <w:rsid w:val="44A45BD7"/>
    <w:rsid w:val="44A85C75"/>
    <w:rsid w:val="44BE15B5"/>
    <w:rsid w:val="44C9341E"/>
    <w:rsid w:val="46125131"/>
    <w:rsid w:val="46952593"/>
    <w:rsid w:val="46D949EB"/>
    <w:rsid w:val="475F4668"/>
    <w:rsid w:val="47E07977"/>
    <w:rsid w:val="484B52B5"/>
    <w:rsid w:val="48626CF9"/>
    <w:rsid w:val="48700F9E"/>
    <w:rsid w:val="487A58C4"/>
    <w:rsid w:val="48951DA6"/>
    <w:rsid w:val="495F4397"/>
    <w:rsid w:val="4A432D80"/>
    <w:rsid w:val="4AF84FA0"/>
    <w:rsid w:val="4AFC450A"/>
    <w:rsid w:val="4B6A1F48"/>
    <w:rsid w:val="4B8240C1"/>
    <w:rsid w:val="4B8C63F6"/>
    <w:rsid w:val="4BCC7805"/>
    <w:rsid w:val="4BF042B3"/>
    <w:rsid w:val="4C3837E9"/>
    <w:rsid w:val="4C4D6C9D"/>
    <w:rsid w:val="4C835077"/>
    <w:rsid w:val="4CF54679"/>
    <w:rsid w:val="4D0E758C"/>
    <w:rsid w:val="4D38183D"/>
    <w:rsid w:val="4D661F7C"/>
    <w:rsid w:val="4D7321F1"/>
    <w:rsid w:val="4D90277D"/>
    <w:rsid w:val="4D967D9A"/>
    <w:rsid w:val="4DAE4B36"/>
    <w:rsid w:val="4DCF0D74"/>
    <w:rsid w:val="4DED1B7E"/>
    <w:rsid w:val="4DEF6D1B"/>
    <w:rsid w:val="4E375881"/>
    <w:rsid w:val="4E945B07"/>
    <w:rsid w:val="4F4F0196"/>
    <w:rsid w:val="4F7030A6"/>
    <w:rsid w:val="50A31D1F"/>
    <w:rsid w:val="50C44111"/>
    <w:rsid w:val="50CA3EFF"/>
    <w:rsid w:val="50D90943"/>
    <w:rsid w:val="51595B90"/>
    <w:rsid w:val="524B622E"/>
    <w:rsid w:val="525C2AAA"/>
    <w:rsid w:val="527F60E4"/>
    <w:rsid w:val="52DE564C"/>
    <w:rsid w:val="53055976"/>
    <w:rsid w:val="53B51A78"/>
    <w:rsid w:val="542C6F04"/>
    <w:rsid w:val="5433756D"/>
    <w:rsid w:val="544B604C"/>
    <w:rsid w:val="555417D6"/>
    <w:rsid w:val="55EE1B92"/>
    <w:rsid w:val="56145930"/>
    <w:rsid w:val="56276642"/>
    <w:rsid w:val="563F5C38"/>
    <w:rsid w:val="565E2966"/>
    <w:rsid w:val="568650EC"/>
    <w:rsid w:val="569A0092"/>
    <w:rsid w:val="56D22439"/>
    <w:rsid w:val="573C1FDD"/>
    <w:rsid w:val="57CE2D37"/>
    <w:rsid w:val="58AC562C"/>
    <w:rsid w:val="58AF1FE4"/>
    <w:rsid w:val="5919472F"/>
    <w:rsid w:val="594B2916"/>
    <w:rsid w:val="598C5E68"/>
    <w:rsid w:val="59B913DD"/>
    <w:rsid w:val="59C15939"/>
    <w:rsid w:val="59E34416"/>
    <w:rsid w:val="59E5552B"/>
    <w:rsid w:val="5A8F7B66"/>
    <w:rsid w:val="5A985374"/>
    <w:rsid w:val="5AC84640"/>
    <w:rsid w:val="5B594BDF"/>
    <w:rsid w:val="5B67293C"/>
    <w:rsid w:val="5BC1770A"/>
    <w:rsid w:val="5BD52F4B"/>
    <w:rsid w:val="5C1E1D99"/>
    <w:rsid w:val="5C48142B"/>
    <w:rsid w:val="5C5E0E8C"/>
    <w:rsid w:val="5C824D18"/>
    <w:rsid w:val="5CF03C4B"/>
    <w:rsid w:val="5DBF1EE1"/>
    <w:rsid w:val="5DCB486F"/>
    <w:rsid w:val="5DE51A21"/>
    <w:rsid w:val="5E5A6C63"/>
    <w:rsid w:val="5EA2502E"/>
    <w:rsid w:val="5EB027A5"/>
    <w:rsid w:val="5ECE5F09"/>
    <w:rsid w:val="5EF3424E"/>
    <w:rsid w:val="5EF65BE6"/>
    <w:rsid w:val="5F520416"/>
    <w:rsid w:val="5F636D4B"/>
    <w:rsid w:val="5F6C20FB"/>
    <w:rsid w:val="5FF75A67"/>
    <w:rsid w:val="609A0319"/>
    <w:rsid w:val="609B7413"/>
    <w:rsid w:val="60A43501"/>
    <w:rsid w:val="60EB57EC"/>
    <w:rsid w:val="610E4EF3"/>
    <w:rsid w:val="61342421"/>
    <w:rsid w:val="619B4865"/>
    <w:rsid w:val="623931DF"/>
    <w:rsid w:val="62803AAB"/>
    <w:rsid w:val="62FA2958"/>
    <w:rsid w:val="634A4773"/>
    <w:rsid w:val="63647DB9"/>
    <w:rsid w:val="637C576C"/>
    <w:rsid w:val="639A23F6"/>
    <w:rsid w:val="63BC5735"/>
    <w:rsid w:val="640259CE"/>
    <w:rsid w:val="642D57E6"/>
    <w:rsid w:val="64617F46"/>
    <w:rsid w:val="65362C76"/>
    <w:rsid w:val="65F94CB9"/>
    <w:rsid w:val="661A28ED"/>
    <w:rsid w:val="675454F2"/>
    <w:rsid w:val="67B71265"/>
    <w:rsid w:val="67CA0752"/>
    <w:rsid w:val="688A2E32"/>
    <w:rsid w:val="6993314E"/>
    <w:rsid w:val="69F720E4"/>
    <w:rsid w:val="6A442FBD"/>
    <w:rsid w:val="6AE30D66"/>
    <w:rsid w:val="6BFF74D5"/>
    <w:rsid w:val="6C252800"/>
    <w:rsid w:val="6CC84C24"/>
    <w:rsid w:val="6D31535F"/>
    <w:rsid w:val="6D42284E"/>
    <w:rsid w:val="6D524684"/>
    <w:rsid w:val="6D8C1501"/>
    <w:rsid w:val="6E3E660A"/>
    <w:rsid w:val="6E5D1A99"/>
    <w:rsid w:val="6E5F0718"/>
    <w:rsid w:val="6F7B7AD6"/>
    <w:rsid w:val="6F8D743E"/>
    <w:rsid w:val="6F92352B"/>
    <w:rsid w:val="6FC1378E"/>
    <w:rsid w:val="70230478"/>
    <w:rsid w:val="702E5BFE"/>
    <w:rsid w:val="704065EA"/>
    <w:rsid w:val="70832C98"/>
    <w:rsid w:val="709A3939"/>
    <w:rsid w:val="71117BB3"/>
    <w:rsid w:val="712B0162"/>
    <w:rsid w:val="71352AEB"/>
    <w:rsid w:val="713D0D36"/>
    <w:rsid w:val="723A078F"/>
    <w:rsid w:val="72707695"/>
    <w:rsid w:val="738417E2"/>
    <w:rsid w:val="73BB3104"/>
    <w:rsid w:val="74C22D11"/>
    <w:rsid w:val="75104AF8"/>
    <w:rsid w:val="75371AAF"/>
    <w:rsid w:val="75E90F54"/>
    <w:rsid w:val="75EE2704"/>
    <w:rsid w:val="76D014C1"/>
    <w:rsid w:val="76E05FD5"/>
    <w:rsid w:val="76EB228A"/>
    <w:rsid w:val="77631423"/>
    <w:rsid w:val="777504D5"/>
    <w:rsid w:val="77790C26"/>
    <w:rsid w:val="778710F1"/>
    <w:rsid w:val="78060FB9"/>
    <w:rsid w:val="78AC16A3"/>
    <w:rsid w:val="791C36F8"/>
    <w:rsid w:val="79865DC4"/>
    <w:rsid w:val="79AB7861"/>
    <w:rsid w:val="79D44C66"/>
    <w:rsid w:val="79D758B7"/>
    <w:rsid w:val="7B043151"/>
    <w:rsid w:val="7B5223D7"/>
    <w:rsid w:val="7BBD7DA4"/>
    <w:rsid w:val="7BD77EDE"/>
    <w:rsid w:val="7BE226C3"/>
    <w:rsid w:val="7BEC3F2B"/>
    <w:rsid w:val="7BF902DE"/>
    <w:rsid w:val="7C31086D"/>
    <w:rsid w:val="7C394457"/>
    <w:rsid w:val="7C4D48D2"/>
    <w:rsid w:val="7C4E2AAA"/>
    <w:rsid w:val="7CD44B80"/>
    <w:rsid w:val="7CFC1341"/>
    <w:rsid w:val="7D2A758A"/>
    <w:rsid w:val="7D4B685C"/>
    <w:rsid w:val="7DBC1B5A"/>
    <w:rsid w:val="7DF4058D"/>
    <w:rsid w:val="7DF5646B"/>
    <w:rsid w:val="7DFC3DAC"/>
    <w:rsid w:val="7E793D4A"/>
    <w:rsid w:val="7F7944DE"/>
    <w:rsid w:val="7F995ACE"/>
    <w:rsid w:val="7FB90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link w:val="7"/>
    <w:uiPriority w:val="0"/>
    <w:rPr>
      <w:rFonts w:eastAsia="宋体"/>
      <w:sz w:val="21"/>
      <w:szCs w:val="20"/>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 Char"/>
    <w:basedOn w:val="1"/>
    <w:link w:val="6"/>
    <w:qFormat/>
    <w:uiPriority w:val="0"/>
    <w:pPr>
      <w:widowControl/>
      <w:spacing w:after="160" w:line="240" w:lineRule="exact"/>
      <w:jc w:val="left"/>
    </w:pPr>
  </w:style>
  <w:style w:type="character" w:styleId="8">
    <w:name w:val="page number"/>
    <w:basedOn w:val="6"/>
    <w:qFormat/>
    <w:uiPriority w:val="0"/>
    <w:rPr>
      <w:rFonts w:eastAsia="宋体"/>
      <w:sz w:val="21"/>
      <w:szCs w:val="20"/>
    </w:rPr>
  </w:style>
  <w:style w:type="character" w:customStyle="1" w:styleId="9">
    <w:name w:val="批注框文本 字符"/>
    <w:link w:val="2"/>
    <w:qFormat/>
    <w:uiPriority w:val="0"/>
    <w:rPr>
      <w:rFonts w:eastAsia="宋体"/>
      <w:kern w:val="2"/>
      <w:sz w:val="18"/>
      <w:szCs w:val="18"/>
    </w:rPr>
  </w:style>
  <w:style w:type="character" w:customStyle="1" w:styleId="10">
    <w:name w:val="页码 New"/>
    <w:basedOn w:val="6"/>
    <w:qFormat/>
    <w:uiPriority w:val="0"/>
    <w:rPr>
      <w:rFonts w:eastAsia="宋体"/>
      <w:sz w:val="21"/>
      <w:szCs w:val="20"/>
    </w:rPr>
  </w:style>
  <w:style w:type="character" w:customStyle="1" w:styleId="11">
    <w:name w:val="页码 New New"/>
    <w:basedOn w:val="6"/>
    <w:qFormat/>
    <w:uiPriority w:val="0"/>
    <w:rPr>
      <w:rFonts w:eastAsia="宋体"/>
      <w:sz w:val="21"/>
      <w:szCs w:val="20"/>
    </w:rPr>
  </w:style>
  <w:style w:type="character" w:customStyle="1" w:styleId="12">
    <w:name w:val="页码 New New New"/>
    <w:basedOn w:val="6"/>
    <w:qFormat/>
    <w:uiPriority w:val="0"/>
    <w:rPr>
      <w:rFonts w:eastAsia="宋体"/>
      <w:sz w:val="21"/>
      <w:szCs w:val="20"/>
    </w:rPr>
  </w:style>
  <w:style w:type="character" w:customStyle="1" w:styleId="13">
    <w:name w:val="font11"/>
    <w:basedOn w:val="6"/>
    <w:qFormat/>
    <w:uiPriority w:val="0"/>
    <w:rPr>
      <w:rFonts w:hint="eastAsia" w:ascii="宋体" w:hAnsi="宋体" w:eastAsia="宋体" w:cs="宋体"/>
      <w:color w:val="000000"/>
      <w:sz w:val="22"/>
      <w:szCs w:val="22"/>
      <w:u w:val="none"/>
    </w:rPr>
  </w:style>
  <w:style w:type="character" w:customStyle="1" w:styleId="14">
    <w:name w:val="页码 New New New New New New"/>
    <w:basedOn w:val="6"/>
    <w:qFormat/>
    <w:uiPriority w:val="0"/>
    <w:rPr>
      <w:rFonts w:eastAsia="宋体"/>
      <w:sz w:val="21"/>
      <w:szCs w:val="20"/>
    </w:rPr>
  </w:style>
  <w:style w:type="character" w:customStyle="1" w:styleId="15">
    <w:name w:val="页码 New New New New"/>
    <w:basedOn w:val="6"/>
    <w:qFormat/>
    <w:uiPriority w:val="0"/>
    <w:rPr>
      <w:rFonts w:eastAsia="宋体"/>
      <w:sz w:val="21"/>
      <w:szCs w:val="20"/>
    </w:rPr>
  </w:style>
  <w:style w:type="character" w:customStyle="1" w:styleId="16">
    <w:name w:val="font41"/>
    <w:qFormat/>
    <w:uiPriority w:val="0"/>
    <w:rPr>
      <w:rFonts w:hint="eastAsia" w:ascii="宋体" w:hAnsi="宋体" w:eastAsia="宋体" w:cs="宋体"/>
      <w:color w:val="000000"/>
      <w:sz w:val="20"/>
      <w:szCs w:val="20"/>
      <w:u w:val="none"/>
    </w:rPr>
  </w:style>
  <w:style w:type="character" w:customStyle="1" w:styleId="17">
    <w:name w:val="页码 New New New New New"/>
    <w:basedOn w:val="6"/>
    <w:qFormat/>
    <w:uiPriority w:val="0"/>
    <w:rPr>
      <w:rFonts w:eastAsia="宋体"/>
      <w:sz w:val="21"/>
      <w:szCs w:val="20"/>
    </w:rPr>
  </w:style>
  <w:style w:type="paragraph" w:customStyle="1" w:styleId="18">
    <w:name w:val="正文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9">
    <w:name w:val="页脚 New New New New New New New New New New New New New New New New"/>
    <w:basedOn w:val="20"/>
    <w:qFormat/>
    <w:uiPriority w:val="0"/>
    <w:pPr>
      <w:tabs>
        <w:tab w:val="center" w:pos="4153"/>
        <w:tab w:val="right" w:pos="8306"/>
      </w:tabs>
      <w:snapToGrid w:val="0"/>
      <w:jc w:val="left"/>
    </w:pPr>
    <w:rPr>
      <w:sz w:val="18"/>
      <w:szCs w:val="18"/>
    </w:rPr>
  </w:style>
  <w:style w:type="paragraph" w:customStyle="1" w:styleId="20">
    <w:name w:val="正文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1">
    <w:name w:val="页眉 New"/>
    <w:basedOn w:val="22"/>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3">
    <w:name w:val="正文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4">
    <w:name w:val="正文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5">
    <w:name w:val="正文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6">
    <w:name w:val="页眉 New New New New New New New New New New New New New New New New New New New New"/>
    <w:basedOn w:val="27"/>
    <w:uiPriority w:val="0"/>
    <w:pPr>
      <w:pBdr>
        <w:bottom w:val="single" w:color="auto" w:sz="6" w:space="1"/>
      </w:pBdr>
      <w:tabs>
        <w:tab w:val="center" w:pos="4153"/>
        <w:tab w:val="right" w:pos="8306"/>
      </w:tabs>
      <w:snapToGrid w:val="0"/>
      <w:jc w:val="center"/>
    </w:pPr>
    <w:rPr>
      <w:sz w:val="18"/>
      <w:szCs w:val="18"/>
    </w:rPr>
  </w:style>
  <w:style w:type="paragraph" w:customStyle="1" w:styleId="27">
    <w:name w:val="正文 New New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8">
    <w:name w:val="正文 New New New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9">
    <w:name w:val="正文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0">
    <w:name w:val="页眉 New New New New New New New New New New New New New New New New New New New New New New New New"/>
    <w:basedOn w:val="31"/>
    <w:uiPriority w:val="0"/>
    <w:pPr>
      <w:pBdr>
        <w:bottom w:val="single" w:color="auto" w:sz="6" w:space="1"/>
      </w:pBdr>
      <w:tabs>
        <w:tab w:val="center" w:pos="4153"/>
        <w:tab w:val="right" w:pos="8306"/>
      </w:tabs>
      <w:snapToGrid w:val="0"/>
      <w:jc w:val="center"/>
    </w:pPr>
    <w:rPr>
      <w:sz w:val="18"/>
      <w:szCs w:val="18"/>
    </w:rPr>
  </w:style>
  <w:style w:type="paragraph" w:customStyle="1" w:styleId="31">
    <w:name w:val="正文 New New New New New New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2">
    <w:name w:val="正文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3">
    <w:name w:val="页眉 New New New New New New New New New New New New New New"/>
    <w:basedOn w:val="34"/>
    <w:uiPriority w:val="0"/>
    <w:pPr>
      <w:pBdr>
        <w:bottom w:val="single" w:color="auto" w:sz="6" w:space="1"/>
      </w:pBdr>
      <w:tabs>
        <w:tab w:val="center" w:pos="4153"/>
        <w:tab w:val="right" w:pos="8306"/>
      </w:tabs>
      <w:snapToGrid w:val="0"/>
      <w:jc w:val="center"/>
    </w:pPr>
    <w:rPr>
      <w:sz w:val="18"/>
      <w:szCs w:val="18"/>
    </w:rPr>
  </w:style>
  <w:style w:type="paragraph" w:customStyle="1" w:styleId="34">
    <w:name w:val="正文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5">
    <w:name w:val="正文 New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6">
    <w:name w:val="正文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7">
    <w:name w:val="页眉 New New New New New New New New New New New New New New New New"/>
    <w:basedOn w:val="20"/>
    <w:uiPriority w:val="0"/>
    <w:pPr>
      <w:pBdr>
        <w:bottom w:val="single" w:color="auto" w:sz="6" w:space="1"/>
      </w:pBdr>
      <w:tabs>
        <w:tab w:val="center" w:pos="4153"/>
        <w:tab w:val="right" w:pos="8306"/>
      </w:tabs>
      <w:snapToGrid w:val="0"/>
      <w:jc w:val="center"/>
    </w:pPr>
    <w:rPr>
      <w:sz w:val="18"/>
      <w:szCs w:val="18"/>
    </w:rPr>
  </w:style>
  <w:style w:type="paragraph" w:customStyle="1" w:styleId="38">
    <w:name w:val="页眉 New New New New New New New New New New New New New New New New New New New New New New New New New New"/>
    <w:basedOn w:val="39"/>
    <w:uiPriority w:val="0"/>
    <w:pPr>
      <w:pBdr>
        <w:bottom w:val="single" w:color="auto" w:sz="6" w:space="1"/>
      </w:pBdr>
      <w:tabs>
        <w:tab w:val="center" w:pos="4153"/>
        <w:tab w:val="right" w:pos="8306"/>
      </w:tabs>
      <w:snapToGrid w:val="0"/>
      <w:jc w:val="center"/>
    </w:pPr>
    <w:rPr>
      <w:sz w:val="18"/>
      <w:szCs w:val="18"/>
    </w:rPr>
  </w:style>
  <w:style w:type="paragraph" w:customStyle="1" w:styleId="39">
    <w:name w:val="正文 New New New New New New New New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0">
    <w:name w:val="页眉 New New New New New New New New New New New New New New New New New New"/>
    <w:basedOn w:val="4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正文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2">
    <w:name w:val="正文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3">
    <w:name w:val="正文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4">
    <w:name w:val="正文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5">
    <w:name w:val="页眉 New New New New New New New New New New New"/>
    <w:basedOn w:val="25"/>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正文 New New New New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7">
    <w:name w:val="页脚 New New New New New New New New New New New New New New New New New"/>
    <w:basedOn w:val="24"/>
    <w:uiPriority w:val="0"/>
    <w:pPr>
      <w:tabs>
        <w:tab w:val="center" w:pos="4153"/>
        <w:tab w:val="right" w:pos="8306"/>
      </w:tabs>
      <w:snapToGrid w:val="0"/>
      <w:jc w:val="left"/>
    </w:pPr>
    <w:rPr>
      <w:sz w:val="18"/>
      <w:szCs w:val="18"/>
    </w:rPr>
  </w:style>
  <w:style w:type="paragraph" w:customStyle="1" w:styleId="48">
    <w:name w:val="p0"/>
    <w:basedOn w:val="32"/>
    <w:uiPriority w:val="0"/>
    <w:pPr>
      <w:widowControl/>
    </w:pPr>
    <w:rPr>
      <w:rFonts w:eastAsia="宋体"/>
      <w:kern w:val="0"/>
      <w:szCs w:val="32"/>
    </w:rPr>
  </w:style>
  <w:style w:type="paragraph" w:customStyle="1" w:styleId="49">
    <w:name w:val="页脚 New"/>
    <w:basedOn w:val="22"/>
    <w:uiPriority w:val="0"/>
    <w:pPr>
      <w:tabs>
        <w:tab w:val="center" w:pos="4153"/>
        <w:tab w:val="right" w:pos="8306"/>
      </w:tabs>
      <w:snapToGrid w:val="0"/>
      <w:jc w:val="left"/>
    </w:pPr>
    <w:rPr>
      <w:sz w:val="18"/>
    </w:rPr>
  </w:style>
  <w:style w:type="paragraph" w:customStyle="1" w:styleId="50">
    <w:name w:val="页眉 New New New New New New New New New New New New New New New New New"/>
    <w:basedOn w:val="24"/>
    <w:uiPriority w:val="0"/>
    <w:pPr>
      <w:pBdr>
        <w:bottom w:val="single" w:color="auto" w:sz="6" w:space="1"/>
      </w:pBdr>
      <w:tabs>
        <w:tab w:val="center" w:pos="4153"/>
        <w:tab w:val="right" w:pos="8306"/>
      </w:tabs>
      <w:snapToGrid w:val="0"/>
      <w:jc w:val="center"/>
    </w:pPr>
    <w:rPr>
      <w:sz w:val="18"/>
      <w:szCs w:val="18"/>
    </w:rPr>
  </w:style>
  <w:style w:type="paragraph" w:customStyle="1" w:styleId="51">
    <w:name w:val="正文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2">
    <w:name w:val="正文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3">
    <w:name w:val="页眉 New New New"/>
    <w:basedOn w:val="29"/>
    <w:uiPriority w:val="0"/>
    <w:pPr>
      <w:pBdr>
        <w:bottom w:val="single" w:color="auto" w:sz="6" w:space="1"/>
      </w:pBdr>
      <w:tabs>
        <w:tab w:val="center" w:pos="4153"/>
        <w:tab w:val="right" w:pos="8306"/>
      </w:tabs>
      <w:snapToGrid w:val="0"/>
      <w:jc w:val="center"/>
    </w:pPr>
    <w:rPr>
      <w:sz w:val="18"/>
      <w:szCs w:val="18"/>
    </w:rPr>
  </w:style>
  <w:style w:type="paragraph" w:customStyle="1" w:styleId="54">
    <w:name w:val="正文 New New New New New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5">
    <w:name w:val="正文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6">
    <w:name w:val="页脚 New New New New New New New New New New New"/>
    <w:basedOn w:val="25"/>
    <w:uiPriority w:val="0"/>
    <w:pPr>
      <w:tabs>
        <w:tab w:val="center" w:pos="4153"/>
        <w:tab w:val="right" w:pos="8306"/>
      </w:tabs>
      <w:snapToGrid w:val="0"/>
      <w:jc w:val="left"/>
    </w:pPr>
    <w:rPr>
      <w:sz w:val="18"/>
      <w:szCs w:val="18"/>
    </w:rPr>
  </w:style>
  <w:style w:type="paragraph" w:customStyle="1" w:styleId="57">
    <w:name w:val="页眉 New New New New New"/>
    <w:basedOn w:val="44"/>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w:basedOn w:val="44"/>
    <w:uiPriority w:val="0"/>
    <w:pPr>
      <w:tabs>
        <w:tab w:val="center" w:pos="4153"/>
        <w:tab w:val="right" w:pos="8306"/>
      </w:tabs>
      <w:snapToGrid w:val="0"/>
      <w:jc w:val="left"/>
    </w:pPr>
    <w:rPr>
      <w:sz w:val="18"/>
      <w:szCs w:val="18"/>
    </w:rPr>
  </w:style>
  <w:style w:type="paragraph" w:customStyle="1" w:styleId="59">
    <w:name w:val="页脚 New New New New New New New New New"/>
    <w:basedOn w:val="18"/>
    <w:uiPriority w:val="0"/>
    <w:pPr>
      <w:tabs>
        <w:tab w:val="center" w:pos="4153"/>
        <w:tab w:val="right" w:pos="8306"/>
      </w:tabs>
      <w:snapToGrid w:val="0"/>
      <w:jc w:val="left"/>
    </w:pPr>
    <w:rPr>
      <w:sz w:val="18"/>
      <w:szCs w:val="18"/>
    </w:rPr>
  </w:style>
  <w:style w:type="paragraph" w:customStyle="1" w:styleId="60">
    <w:name w:val="页眉 New New New New New New New New New New New New New New New"/>
    <w:basedOn w:val="51"/>
    <w:uiPriority w:val="0"/>
    <w:pPr>
      <w:pBdr>
        <w:bottom w:val="single" w:color="auto" w:sz="6" w:space="1"/>
      </w:pBdr>
      <w:tabs>
        <w:tab w:val="center" w:pos="4153"/>
        <w:tab w:val="right" w:pos="8306"/>
      </w:tabs>
      <w:snapToGrid w:val="0"/>
      <w:jc w:val="center"/>
    </w:pPr>
    <w:rPr>
      <w:sz w:val="18"/>
      <w:szCs w:val="18"/>
    </w:rPr>
  </w:style>
  <w:style w:type="paragraph" w:customStyle="1" w:styleId="61">
    <w:name w:val="页脚 New New New"/>
    <w:basedOn w:val="29"/>
    <w:uiPriority w:val="0"/>
    <w:pPr>
      <w:tabs>
        <w:tab w:val="center" w:pos="4153"/>
        <w:tab w:val="right" w:pos="8306"/>
      </w:tabs>
      <w:snapToGrid w:val="0"/>
      <w:jc w:val="left"/>
    </w:pPr>
    <w:rPr>
      <w:sz w:val="18"/>
    </w:rPr>
  </w:style>
  <w:style w:type="paragraph" w:customStyle="1" w:styleId="62">
    <w:name w:val="页眉 New New New New New New New New New"/>
    <w:basedOn w:val="18"/>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w:basedOn w:val="28"/>
    <w:uiPriority w:val="0"/>
    <w:pPr>
      <w:tabs>
        <w:tab w:val="center" w:pos="4153"/>
        <w:tab w:val="right" w:pos="8306"/>
      </w:tabs>
      <w:snapToGrid w:val="0"/>
      <w:jc w:val="left"/>
    </w:pPr>
    <w:rPr>
      <w:sz w:val="18"/>
      <w:szCs w:val="18"/>
    </w:rPr>
  </w:style>
  <w:style w:type="paragraph" w:customStyle="1" w:styleId="64">
    <w:name w:val="页脚 New New New New New New New New New New New New New New New New New New New New"/>
    <w:basedOn w:val="27"/>
    <w:uiPriority w:val="0"/>
    <w:pPr>
      <w:tabs>
        <w:tab w:val="center" w:pos="4153"/>
        <w:tab w:val="right" w:pos="8306"/>
      </w:tabs>
      <w:snapToGrid w:val="0"/>
      <w:jc w:val="left"/>
    </w:pPr>
    <w:rPr>
      <w:sz w:val="18"/>
      <w:szCs w:val="18"/>
    </w:rPr>
  </w:style>
  <w:style w:type="paragraph" w:customStyle="1" w:styleId="65">
    <w:name w:val="页脚 New New New New New New"/>
    <w:basedOn w:val="42"/>
    <w:uiPriority w:val="0"/>
    <w:pPr>
      <w:tabs>
        <w:tab w:val="center" w:pos="4153"/>
        <w:tab w:val="right" w:pos="8306"/>
      </w:tabs>
      <w:snapToGrid w:val="0"/>
      <w:jc w:val="left"/>
    </w:pPr>
    <w:rPr>
      <w:sz w:val="18"/>
      <w:szCs w:val="18"/>
    </w:rPr>
  </w:style>
  <w:style w:type="paragraph" w:customStyle="1" w:styleId="66">
    <w:name w:val="页脚 New New New New New New New New New New New New New New New"/>
    <w:basedOn w:val="51"/>
    <w:uiPriority w:val="0"/>
    <w:pPr>
      <w:tabs>
        <w:tab w:val="center" w:pos="4153"/>
        <w:tab w:val="right" w:pos="8306"/>
      </w:tabs>
      <w:snapToGrid w:val="0"/>
      <w:jc w:val="left"/>
    </w:pPr>
    <w:rPr>
      <w:sz w:val="18"/>
      <w:szCs w:val="18"/>
    </w:rPr>
  </w:style>
  <w:style w:type="paragraph" w:customStyle="1" w:styleId="67">
    <w:name w:val="页眉 New New New New New New New"/>
    <w:basedOn w:val="43"/>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w:basedOn w:val="69"/>
    <w:uiPriority w:val="0"/>
    <w:pPr>
      <w:tabs>
        <w:tab w:val="center" w:pos="4153"/>
        <w:tab w:val="right" w:pos="8306"/>
      </w:tabs>
      <w:snapToGrid w:val="0"/>
      <w:jc w:val="left"/>
    </w:pPr>
    <w:rPr>
      <w:sz w:val="18"/>
      <w:szCs w:val="18"/>
    </w:rPr>
  </w:style>
  <w:style w:type="paragraph" w:customStyle="1" w:styleId="69">
    <w:name w:val="正文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70">
    <w:name w:val="页眉 New New New New New New New New New New New New New New New New New New New New New New New"/>
    <w:basedOn w:val="54"/>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w:basedOn w:val="32"/>
    <w:uiPriority w:val="0"/>
    <w:pPr>
      <w:tabs>
        <w:tab w:val="center" w:pos="4153"/>
        <w:tab w:val="right" w:pos="8306"/>
      </w:tabs>
      <w:snapToGrid w:val="0"/>
      <w:jc w:val="left"/>
    </w:pPr>
    <w:rPr>
      <w:sz w:val="18"/>
    </w:rPr>
  </w:style>
  <w:style w:type="paragraph" w:customStyle="1" w:styleId="72">
    <w:name w:val="页眉 New New New New"/>
    <w:basedOn w:val="32"/>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28"/>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New New New New New New New New New New New New New New New New New New New New"/>
    <w:basedOn w:val="54"/>
    <w:uiPriority w:val="0"/>
    <w:pPr>
      <w:tabs>
        <w:tab w:val="center" w:pos="4153"/>
        <w:tab w:val="right" w:pos="8306"/>
      </w:tabs>
      <w:snapToGrid w:val="0"/>
      <w:jc w:val="left"/>
    </w:pPr>
    <w:rPr>
      <w:sz w:val="18"/>
      <w:szCs w:val="18"/>
    </w:rPr>
  </w:style>
  <w:style w:type="paragraph" w:customStyle="1" w:styleId="75">
    <w:name w:val="页脚 New New New New New New New New New New New New New New New New New New"/>
    <w:basedOn w:val="41"/>
    <w:uiPriority w:val="0"/>
    <w:pPr>
      <w:tabs>
        <w:tab w:val="center" w:pos="4153"/>
        <w:tab w:val="right" w:pos="8306"/>
      </w:tabs>
      <w:snapToGrid w:val="0"/>
      <w:jc w:val="left"/>
    </w:pPr>
    <w:rPr>
      <w:sz w:val="18"/>
      <w:szCs w:val="18"/>
    </w:rPr>
  </w:style>
  <w:style w:type="paragraph" w:customStyle="1" w:styleId="76">
    <w:name w:val="页眉 New New New New New New New New New New New New"/>
    <w:basedOn w:val="23"/>
    <w:uiPriority w:val="0"/>
    <w:pPr>
      <w:pBdr>
        <w:bottom w:val="single" w:color="auto" w:sz="6" w:space="1"/>
      </w:pBdr>
      <w:tabs>
        <w:tab w:val="center" w:pos="4153"/>
        <w:tab w:val="right" w:pos="8306"/>
      </w:tabs>
      <w:snapToGrid w:val="0"/>
      <w:jc w:val="center"/>
    </w:pPr>
    <w:rPr>
      <w:sz w:val="18"/>
      <w:szCs w:val="18"/>
    </w:rPr>
  </w:style>
  <w:style w:type="paragraph" w:customStyle="1" w:styleId="77">
    <w:name w:val="页眉 New New New New New New New New New New"/>
    <w:basedOn w:val="55"/>
    <w:uiPriority w:val="0"/>
    <w:pPr>
      <w:pBdr>
        <w:bottom w:val="single" w:color="auto" w:sz="6" w:space="1"/>
      </w:pBdr>
      <w:tabs>
        <w:tab w:val="center" w:pos="4153"/>
        <w:tab w:val="right" w:pos="8306"/>
      </w:tabs>
      <w:snapToGrid w:val="0"/>
      <w:jc w:val="center"/>
    </w:pPr>
    <w:rPr>
      <w:sz w:val="18"/>
      <w:szCs w:val="18"/>
    </w:rPr>
  </w:style>
  <w:style w:type="paragraph" w:customStyle="1" w:styleId="78">
    <w:name w:val="页脚 New New New New New New New New New New New New"/>
    <w:basedOn w:val="23"/>
    <w:uiPriority w:val="0"/>
    <w:pPr>
      <w:tabs>
        <w:tab w:val="center" w:pos="4153"/>
        <w:tab w:val="right" w:pos="8306"/>
      </w:tabs>
      <w:snapToGrid w:val="0"/>
      <w:jc w:val="left"/>
    </w:pPr>
    <w:rPr>
      <w:sz w:val="18"/>
      <w:szCs w:val="18"/>
    </w:rPr>
  </w:style>
  <w:style w:type="paragraph" w:customStyle="1" w:styleId="79">
    <w:name w:val="页眉 New New New New New New New New"/>
    <w:basedOn w:val="69"/>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w:basedOn w:val="46"/>
    <w:uiPriority w:val="0"/>
    <w:pPr>
      <w:pBdr>
        <w:bottom w:val="single" w:color="auto" w:sz="6" w:space="1"/>
      </w:pBdr>
      <w:tabs>
        <w:tab w:val="center" w:pos="4153"/>
        <w:tab w:val="right" w:pos="8306"/>
      </w:tabs>
      <w:snapToGrid w:val="0"/>
      <w:jc w:val="center"/>
    </w:pPr>
    <w:rPr>
      <w:sz w:val="18"/>
      <w:szCs w:val="18"/>
    </w:rPr>
  </w:style>
  <w:style w:type="paragraph" w:customStyle="1" w:styleId="81">
    <w:name w:val="页脚 New New New New New New New New New New New New New New New New New New New New New New New New New New"/>
    <w:basedOn w:val="39"/>
    <w:uiPriority w:val="0"/>
    <w:pPr>
      <w:tabs>
        <w:tab w:val="center" w:pos="4153"/>
        <w:tab w:val="right" w:pos="8306"/>
      </w:tabs>
      <w:snapToGrid w:val="0"/>
      <w:jc w:val="left"/>
    </w:pPr>
    <w:rPr>
      <w:sz w:val="18"/>
      <w:szCs w:val="18"/>
    </w:rPr>
  </w:style>
  <w:style w:type="paragraph" w:customStyle="1" w:styleId="82">
    <w:name w:val="正文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83">
    <w:name w:val="页脚 New New New New New New New New New New New New New New New New New New New New New New New New New"/>
    <w:basedOn w:val="52"/>
    <w:uiPriority w:val="0"/>
    <w:pPr>
      <w:tabs>
        <w:tab w:val="center" w:pos="4153"/>
        <w:tab w:val="right" w:pos="8306"/>
      </w:tabs>
      <w:snapToGrid w:val="0"/>
      <w:jc w:val="left"/>
    </w:pPr>
    <w:rPr>
      <w:sz w:val="18"/>
    </w:rPr>
  </w:style>
  <w:style w:type="paragraph" w:customStyle="1" w:styleId="84">
    <w:name w:val="页脚 New New New New New New New New New New New New New New New New New New New New New New"/>
    <w:basedOn w:val="46"/>
    <w:uiPriority w:val="0"/>
    <w:pPr>
      <w:tabs>
        <w:tab w:val="center" w:pos="4153"/>
        <w:tab w:val="right" w:pos="8306"/>
      </w:tabs>
      <w:snapToGrid w:val="0"/>
      <w:jc w:val="left"/>
    </w:pPr>
    <w:rPr>
      <w:sz w:val="18"/>
      <w:szCs w:val="18"/>
    </w:rPr>
  </w:style>
  <w:style w:type="paragraph" w:customStyle="1" w:styleId="85">
    <w:name w:val="页脚 New New New New New New New New New New"/>
    <w:basedOn w:val="55"/>
    <w:uiPriority w:val="0"/>
    <w:pPr>
      <w:tabs>
        <w:tab w:val="center" w:pos="4153"/>
        <w:tab w:val="right" w:pos="8306"/>
      </w:tabs>
      <w:snapToGrid w:val="0"/>
      <w:jc w:val="left"/>
    </w:pPr>
    <w:rPr>
      <w:sz w:val="18"/>
      <w:szCs w:val="18"/>
    </w:rPr>
  </w:style>
  <w:style w:type="paragraph" w:customStyle="1" w:styleId="86">
    <w:name w:val="页脚 New New New New New New New New New New New New New New"/>
    <w:basedOn w:val="34"/>
    <w:uiPriority w:val="0"/>
    <w:pPr>
      <w:tabs>
        <w:tab w:val="center" w:pos="4153"/>
        <w:tab w:val="right" w:pos="8306"/>
      </w:tabs>
      <w:snapToGrid w:val="0"/>
      <w:jc w:val="left"/>
    </w:pPr>
    <w:rPr>
      <w:sz w:val="18"/>
    </w:rPr>
  </w:style>
  <w:style w:type="paragraph" w:customStyle="1" w:styleId="87">
    <w:name w:val="页脚 New New New New New New New New New New New New New New New New New New New New New New New New"/>
    <w:basedOn w:val="31"/>
    <w:uiPriority w:val="0"/>
    <w:pPr>
      <w:tabs>
        <w:tab w:val="center" w:pos="4153"/>
        <w:tab w:val="right" w:pos="8306"/>
      </w:tabs>
      <w:snapToGrid w:val="0"/>
      <w:jc w:val="left"/>
    </w:pPr>
    <w:rPr>
      <w:sz w:val="18"/>
      <w:szCs w:val="18"/>
    </w:rPr>
  </w:style>
  <w:style w:type="paragraph" w:customStyle="1" w:styleId="88">
    <w:name w:val="页眉 New New New New New New New New New New New New New"/>
    <w:basedOn w:val="36"/>
    <w:uiPriority w:val="0"/>
    <w:pPr>
      <w:pBdr>
        <w:bottom w:val="single" w:color="auto" w:sz="6" w:space="1"/>
      </w:pBdr>
      <w:tabs>
        <w:tab w:val="center" w:pos="4153"/>
        <w:tab w:val="right" w:pos="8306"/>
      </w:tabs>
      <w:snapToGrid w:val="0"/>
      <w:jc w:val="center"/>
    </w:pPr>
    <w:rPr>
      <w:sz w:val="18"/>
      <w:szCs w:val="18"/>
    </w:rPr>
  </w:style>
  <w:style w:type="paragraph" w:customStyle="1" w:styleId="89">
    <w:name w:val="页脚 New New"/>
    <w:basedOn w:val="82"/>
    <w:uiPriority w:val="0"/>
    <w:pPr>
      <w:tabs>
        <w:tab w:val="center" w:pos="4153"/>
        <w:tab w:val="right" w:pos="8306"/>
      </w:tabs>
      <w:snapToGrid w:val="0"/>
      <w:jc w:val="left"/>
    </w:pPr>
    <w:rPr>
      <w:sz w:val="18"/>
    </w:rPr>
  </w:style>
  <w:style w:type="paragraph" w:customStyle="1" w:styleId="90">
    <w:name w:val="页眉 New New"/>
    <w:basedOn w:val="82"/>
    <w:uiPriority w:val="0"/>
    <w:pPr>
      <w:pBdr>
        <w:bottom w:val="single" w:color="auto" w:sz="6" w:space="1"/>
      </w:pBdr>
      <w:tabs>
        <w:tab w:val="center" w:pos="4153"/>
        <w:tab w:val="right" w:pos="8306"/>
      </w:tabs>
      <w:snapToGrid w:val="0"/>
      <w:jc w:val="center"/>
    </w:pPr>
    <w:rPr>
      <w:sz w:val="18"/>
      <w:szCs w:val="18"/>
    </w:rPr>
  </w:style>
  <w:style w:type="paragraph" w:customStyle="1" w:styleId="91">
    <w:name w:val="页眉 New New New New New New New New New New New New New New New New New New New"/>
    <w:basedOn w:val="35"/>
    <w:uiPriority w:val="0"/>
    <w:pPr>
      <w:pBdr>
        <w:bottom w:val="single" w:color="auto" w:sz="6" w:space="1"/>
      </w:pBdr>
      <w:tabs>
        <w:tab w:val="center" w:pos="4153"/>
        <w:tab w:val="right" w:pos="8306"/>
      </w:tabs>
      <w:snapToGrid w:val="0"/>
      <w:jc w:val="center"/>
    </w:pPr>
    <w:rPr>
      <w:sz w:val="18"/>
      <w:szCs w:val="18"/>
    </w:rPr>
  </w:style>
  <w:style w:type="paragraph" w:customStyle="1" w:styleId="92">
    <w:name w:val="页眉 New New New New New New New New New New New New New New New New New New New New New New New New New"/>
    <w:basedOn w:val="52"/>
    <w:uiPriority w:val="0"/>
    <w:pPr>
      <w:pBdr>
        <w:bottom w:val="single" w:color="auto" w:sz="6" w:space="1"/>
      </w:pBdr>
      <w:tabs>
        <w:tab w:val="center" w:pos="4153"/>
        <w:tab w:val="right" w:pos="8306"/>
      </w:tabs>
      <w:snapToGrid w:val="0"/>
      <w:jc w:val="center"/>
    </w:pPr>
    <w:rPr>
      <w:sz w:val="18"/>
      <w:szCs w:val="18"/>
    </w:rPr>
  </w:style>
  <w:style w:type="paragraph" w:customStyle="1" w:styleId="93">
    <w:name w:val="页脚 New New New New New New New New New New New New New New New New New New New"/>
    <w:basedOn w:val="35"/>
    <w:uiPriority w:val="0"/>
    <w:pPr>
      <w:tabs>
        <w:tab w:val="center" w:pos="4153"/>
        <w:tab w:val="right" w:pos="8306"/>
      </w:tabs>
      <w:snapToGrid w:val="0"/>
      <w:jc w:val="left"/>
    </w:pPr>
    <w:rPr>
      <w:sz w:val="18"/>
      <w:szCs w:val="18"/>
    </w:rPr>
  </w:style>
  <w:style w:type="paragraph" w:customStyle="1" w:styleId="94">
    <w:name w:val="页眉 New New New New New New"/>
    <w:basedOn w:val="42"/>
    <w:uiPriority w:val="0"/>
    <w:pPr>
      <w:pBdr>
        <w:bottom w:val="single" w:color="auto" w:sz="6" w:space="1"/>
      </w:pBdr>
      <w:tabs>
        <w:tab w:val="center" w:pos="4153"/>
        <w:tab w:val="right" w:pos="8306"/>
      </w:tabs>
      <w:snapToGrid w:val="0"/>
      <w:jc w:val="center"/>
    </w:pPr>
    <w:rPr>
      <w:sz w:val="18"/>
      <w:szCs w:val="18"/>
    </w:rPr>
  </w:style>
  <w:style w:type="paragraph" w:customStyle="1" w:styleId="95">
    <w:name w:val="页脚 New New New New New New New"/>
    <w:basedOn w:val="43"/>
    <w:uiPriority w:val="0"/>
    <w:pPr>
      <w:tabs>
        <w:tab w:val="center" w:pos="4153"/>
        <w:tab w:val="right" w:pos="8306"/>
      </w:tabs>
      <w:snapToGrid w:val="0"/>
      <w:jc w:val="left"/>
    </w:pPr>
    <w:rPr>
      <w:sz w:val="18"/>
      <w:szCs w:val="18"/>
    </w:rPr>
  </w:style>
  <w:style w:type="paragraph" w:customStyle="1" w:styleId="96">
    <w:name w:val="页脚 New New New New New New New New New New New New New"/>
    <w:basedOn w:val="36"/>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Kingsoft\WPS%20Office\12.1.0.19770\office6\Normal.wpt"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年度收支</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2023年</c:v>
                </c:pt>
                <c:pt idx="1">
                  <c:v>2024年</c:v>
                </c:pt>
              </c:strCache>
            </c:strRef>
          </c:cat>
          <c:val>
            <c:numRef>
              <c:f>Sheet1!$B$2:$B$3</c:f>
              <c:numCache>
                <c:formatCode>General</c:formatCode>
                <c:ptCount val="2"/>
                <c:pt idx="0">
                  <c:v>4332.83</c:v>
                </c:pt>
                <c:pt idx="1">
                  <c:v>3731.11</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Sheet1!$C$2:$C$3</c:f>
              <c:numCache>
                <c:formatCode>General</c:formatCode>
                <c:ptCount val="2"/>
                <c:pt idx="0">
                  <c:v>4332.83</c:v>
                </c:pt>
                <c:pt idx="1">
                  <c:v>3731.11</c:v>
                </c:pt>
              </c:numCache>
            </c:numRef>
          </c:val>
        </c:ser>
        <c:dLbls>
          <c:showLegendKey val="0"/>
          <c:showVal val="0"/>
          <c:showCatName val="0"/>
          <c:showSerName val="0"/>
          <c:showPercent val="0"/>
          <c:showBubbleSize val="0"/>
        </c:dLbls>
        <c:gapWidth val="219"/>
        <c:overlap val="-27"/>
        <c:axId val="917444144"/>
        <c:axId val="917445104"/>
      </c:barChart>
      <c:catAx>
        <c:axId val="917444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7445104"/>
        <c:crosses val="autoZero"/>
        <c:auto val="1"/>
        <c:lblAlgn val="ctr"/>
        <c:lblOffset val="100"/>
        <c:noMultiLvlLbl val="0"/>
      </c:catAx>
      <c:valAx>
        <c:axId val="917445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74441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20eb3a6-47d9-4862-a833-f858db67b16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财政拨款收入</c:v>
                </c:pt>
                <c:pt idx="1">
                  <c:v>事业单位收入</c:v>
                </c:pt>
                <c:pt idx="2">
                  <c:v>其他收入</c:v>
                </c:pt>
              </c:strCache>
            </c:strRef>
          </c:cat>
          <c:val>
            <c:numRef>
              <c:f>Sheet1!$B$2:$B$4</c:f>
              <c:numCache>
                <c:formatCode>General</c:formatCode>
                <c:ptCount val="3"/>
                <c:pt idx="0">
                  <c:v>3702.24</c:v>
                </c:pt>
                <c:pt idx="1">
                  <c:v>28.41</c:v>
                </c:pt>
                <c:pt idx="2">
                  <c:v>0.46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2aeba6c-772a-4448-81ce-2241cb6cdd5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基本支出</c:v>
                </c:pt>
              </c:strCache>
            </c:strRef>
          </c:cat>
          <c:val>
            <c:numRef>
              <c:f>Sheet1!$B$2</c:f>
              <c:numCache>
                <c:formatCode>General</c:formatCode>
                <c:ptCount val="1"/>
                <c:pt idx="0">
                  <c:v>3731.11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66dfd80-b13f-433b-bf6b-a356f4ae652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年度财政拨款收支</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delete val="1"/>
          </c:dLbls>
          <c:cat>
            <c:strRef>
              <c:f>Sheet1!$A$2:$A$3</c:f>
              <c:strCache>
                <c:ptCount val="2"/>
                <c:pt idx="0">
                  <c:v>2023年</c:v>
                </c:pt>
                <c:pt idx="1">
                  <c:v>2024年</c:v>
                </c:pt>
              </c:strCache>
            </c:strRef>
          </c:cat>
          <c:val>
            <c:numRef>
              <c:f>Sheet1!$B$2:$B$3</c:f>
              <c:numCache>
                <c:formatCode>General</c:formatCode>
                <c:ptCount val="2"/>
                <c:pt idx="0">
                  <c:v>4302.88</c:v>
                </c:pt>
                <c:pt idx="1">
                  <c:v>3702.24</c:v>
                </c:pt>
              </c:numCache>
            </c:numRef>
          </c:val>
        </c:ser>
        <c:ser>
          <c:idx val="1"/>
          <c:order val="1"/>
          <c:tx>
            <c:strRef>
              <c:f>Sheet1!$C$1</c:f>
              <c:strCache>
                <c:ptCount val="1"/>
                <c:pt idx="0">
                  <c:v>财政拨款支出</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Sheet1!$C$2:$C$3</c:f>
              <c:numCache>
                <c:formatCode>General</c:formatCode>
                <c:ptCount val="2"/>
                <c:pt idx="0">
                  <c:v>4302.88</c:v>
                </c:pt>
                <c:pt idx="1">
                  <c:v>3702.24</c:v>
                </c:pt>
              </c:numCache>
            </c:numRef>
          </c:val>
        </c:ser>
        <c:dLbls>
          <c:showLegendKey val="0"/>
          <c:showVal val="0"/>
          <c:showCatName val="0"/>
          <c:showSerName val="0"/>
          <c:showPercent val="0"/>
          <c:showBubbleSize val="0"/>
        </c:dLbls>
        <c:gapWidth val="219"/>
        <c:overlap val="-27"/>
        <c:axId val="917444144"/>
        <c:axId val="917445104"/>
      </c:barChart>
      <c:catAx>
        <c:axId val="917444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7445104"/>
        <c:crosses val="autoZero"/>
        <c:auto val="1"/>
        <c:lblAlgn val="ctr"/>
        <c:lblOffset val="100"/>
        <c:noMultiLvlLbl val="0"/>
      </c:catAx>
      <c:valAx>
        <c:axId val="917445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74441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8431645-d415-47f0-a575-fad9c464b3d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年度财政拨款收支</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delete val="1"/>
          </c:dLbls>
          <c:cat>
            <c:strRef>
              <c:f>Sheet1!$A$2:$A$3</c:f>
              <c:strCache>
                <c:ptCount val="2"/>
                <c:pt idx="0">
                  <c:v>2023年</c:v>
                </c:pt>
                <c:pt idx="1">
                  <c:v>2024年</c:v>
                </c:pt>
              </c:strCache>
            </c:strRef>
          </c:cat>
          <c:val>
            <c:numRef>
              <c:f>Sheet1!$B$2:$B$3</c:f>
              <c:numCache>
                <c:formatCode>General</c:formatCode>
                <c:ptCount val="2"/>
                <c:pt idx="0">
                  <c:v>4302.88</c:v>
                </c:pt>
                <c:pt idx="1">
                  <c:v>3702.24</c:v>
                </c:pt>
              </c:numCache>
            </c:numRef>
          </c:val>
        </c:ser>
        <c:ser>
          <c:idx val="1"/>
          <c:order val="1"/>
          <c:tx>
            <c:strRef>
              <c:f>Sheet1!$C$1</c:f>
              <c:strCache>
                <c:ptCount val="1"/>
                <c:pt idx="0">
                  <c:v>财政拨款支出</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Sheet1!$C$2:$C$3</c:f>
              <c:numCache>
                <c:formatCode>General</c:formatCode>
                <c:ptCount val="2"/>
                <c:pt idx="0">
                  <c:v>4302.88</c:v>
                </c:pt>
                <c:pt idx="1">
                  <c:v>3702.24</c:v>
                </c:pt>
              </c:numCache>
            </c:numRef>
          </c:val>
        </c:ser>
        <c:dLbls>
          <c:showLegendKey val="0"/>
          <c:showVal val="0"/>
          <c:showCatName val="0"/>
          <c:showSerName val="0"/>
          <c:showPercent val="0"/>
          <c:showBubbleSize val="0"/>
        </c:dLbls>
        <c:gapWidth val="219"/>
        <c:overlap val="-27"/>
        <c:axId val="917444144"/>
        <c:axId val="917445104"/>
      </c:barChart>
      <c:catAx>
        <c:axId val="917444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7445104"/>
        <c:crosses val="autoZero"/>
        <c:auto val="1"/>
        <c:lblAlgn val="ctr"/>
        <c:lblOffset val="100"/>
        <c:noMultiLvlLbl val="0"/>
      </c:catAx>
      <c:valAx>
        <c:axId val="917445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74441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d179b3e-be0b-46b1-adf4-b820baac870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教育（类）支出</c:v>
                </c:pt>
                <c:pt idx="1">
                  <c:v>社会保障和就业支出</c:v>
                </c:pt>
                <c:pt idx="2">
                  <c:v>卫生健康支出</c:v>
                </c:pt>
                <c:pt idx="3">
                  <c:v>住房保障支出</c:v>
                </c:pt>
              </c:strCache>
            </c:strRef>
          </c:cat>
          <c:val>
            <c:numRef>
              <c:f>Sheet1!$B$2:$B$5</c:f>
              <c:numCache>
                <c:formatCode>General</c:formatCode>
                <c:ptCount val="4"/>
                <c:pt idx="0">
                  <c:v>2982.51</c:v>
                </c:pt>
                <c:pt idx="1">
                  <c:v>341.39</c:v>
                </c:pt>
                <c:pt idx="2">
                  <c:v>152.52</c:v>
                </c:pt>
                <c:pt idx="3">
                  <c:v>225.81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76fe594-cf9a-4e64-8691-260fe45c695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22</Pages>
  <Words>3264</Words>
  <Characters>3578</Characters>
  <Lines>229</Lines>
  <Paragraphs>109</Paragraphs>
  <TotalTime>3</TotalTime>
  <ScaleCrop>false</ScaleCrop>
  <LinksUpToDate>false</LinksUpToDate>
  <CharactersWithSpaces>3646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2025-10-10T03:22:00Z</dcterms:created>
  <dc:creator>王志强</dc:creator>
  <cp:lastModifiedBy>阿楠睡不醒</cp:lastModifiedBy>
  <cp:lastPrinted>2024-08-06T06:19:00Z</cp:lastPrinted>
  <dcterms:modified xsi:type="dcterms:W3CDTF">2025-10-10T06:08:21Z</dcterms:modified>
  <dc:title>2015年度部门决算公开模板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26B939163BCC4AD797E831BA5D0EE32F_12</vt:lpwstr>
  </property>
  <property fmtid="{D5CDD505-2E9C-101B-9397-08002B2CF9AE}" pid="4" name="KSOTemplateDocerSaveRecord">
    <vt:lpwstr>eyJoZGlkIjoiYjgyMGJlZTU5Nzc3ZDhkYjhkMzc2NTY3NThiOGNmZTMifQ==</vt:lpwstr>
  </property>
</Properties>
</file>