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2A797C">
      <w:pPr>
        <w:rPr>
          <w:rFonts w:hint="eastAsia"/>
          <w:sz w:val="32"/>
          <w:szCs w:val="32"/>
        </w:rPr>
      </w:pPr>
      <w:r>
        <w:rPr>
          <w:rFonts w:hint="eastAsia"/>
          <w:sz w:val="32"/>
          <w:szCs w:val="32"/>
        </w:rPr>
        <w:t>附件 1：</w:t>
      </w:r>
    </w:p>
    <w:p w14:paraId="1FEEB4C8">
      <w:pPr>
        <w:rPr>
          <w:rFonts w:hint="eastAsia"/>
        </w:rPr>
      </w:pPr>
    </w:p>
    <w:p w14:paraId="7B72AE13">
      <w:pPr>
        <w:rPr>
          <w:rFonts w:hint="eastAsia"/>
        </w:rPr>
      </w:pPr>
    </w:p>
    <w:p w14:paraId="7D7427D4">
      <w:pPr>
        <w:rPr>
          <w:rFonts w:hint="eastAsia"/>
        </w:rPr>
      </w:pPr>
    </w:p>
    <w:p w14:paraId="3075F38D">
      <w:pPr>
        <w:rPr>
          <w:rFonts w:hint="eastAsia"/>
        </w:rPr>
      </w:pPr>
    </w:p>
    <w:p w14:paraId="190EE62F">
      <w:pPr>
        <w:rPr>
          <w:rFonts w:hint="eastAsia"/>
        </w:rPr>
      </w:pPr>
    </w:p>
    <w:p w14:paraId="5F6A97E2">
      <w:pPr>
        <w:rPr>
          <w:rFonts w:hint="eastAsia"/>
        </w:rPr>
      </w:pPr>
    </w:p>
    <w:p w14:paraId="06B5B297">
      <w:pPr>
        <w:rPr>
          <w:rFonts w:hint="eastAsia"/>
        </w:rPr>
      </w:pPr>
    </w:p>
    <w:p w14:paraId="7116B1CB">
      <w:pPr>
        <w:rPr>
          <w:rFonts w:hint="eastAsia"/>
        </w:rPr>
      </w:pPr>
    </w:p>
    <w:p w14:paraId="6EBB16F0">
      <w:pPr>
        <w:rPr>
          <w:rFonts w:hint="eastAsia"/>
        </w:rPr>
      </w:pPr>
    </w:p>
    <w:p w14:paraId="7E44D595">
      <w:pPr>
        <w:rPr>
          <w:rFonts w:hint="eastAsia"/>
        </w:rPr>
      </w:pPr>
    </w:p>
    <w:p w14:paraId="2F156266">
      <w:pPr>
        <w:rPr>
          <w:rFonts w:hint="eastAsia"/>
        </w:rPr>
      </w:pPr>
    </w:p>
    <w:p w14:paraId="735E75D1">
      <w:pPr>
        <w:rPr>
          <w:rFonts w:hint="eastAsia"/>
        </w:rPr>
      </w:pPr>
    </w:p>
    <w:p w14:paraId="244E40C4">
      <w:pPr>
        <w:jc w:val="center"/>
        <w:rPr>
          <w:rFonts w:hint="eastAsia" w:ascii="黑体" w:hAnsi="黑体" w:eastAsia="黑体" w:cs="黑体"/>
          <w:sz w:val="44"/>
          <w:szCs w:val="44"/>
        </w:rPr>
      </w:pPr>
    </w:p>
    <w:p w14:paraId="4B722E93">
      <w:pPr>
        <w:jc w:val="center"/>
        <w:rPr>
          <w:rFonts w:hint="eastAsia" w:ascii="黑体" w:hAnsi="黑体" w:eastAsia="黑体" w:cs="黑体"/>
          <w:sz w:val="44"/>
          <w:szCs w:val="44"/>
        </w:rPr>
      </w:pPr>
      <w:r>
        <w:rPr>
          <w:rFonts w:hint="eastAsia" w:ascii="黑体" w:hAnsi="黑体" w:eastAsia="黑体" w:cs="黑体"/>
          <w:sz w:val="44"/>
          <w:szCs w:val="44"/>
        </w:rPr>
        <w:t>2023 年度</w:t>
      </w:r>
    </w:p>
    <w:p w14:paraId="7A7DE3FD">
      <w:pPr>
        <w:jc w:val="center"/>
        <w:rPr>
          <w:rFonts w:hint="eastAsia" w:ascii="黑体" w:hAnsi="黑体" w:eastAsia="黑体" w:cs="黑体"/>
          <w:sz w:val="44"/>
          <w:szCs w:val="44"/>
        </w:rPr>
      </w:pPr>
    </w:p>
    <w:p w14:paraId="17F18499">
      <w:pPr>
        <w:jc w:val="center"/>
        <w:rPr>
          <w:rFonts w:hint="eastAsia" w:ascii="黑体" w:hAnsi="黑体" w:eastAsia="黑体" w:cs="黑体"/>
          <w:sz w:val="44"/>
          <w:szCs w:val="44"/>
        </w:rPr>
      </w:pPr>
      <w:r>
        <w:rPr>
          <w:rFonts w:hint="eastAsia" w:ascii="黑体" w:hAnsi="黑体" w:eastAsia="黑体" w:cs="黑体"/>
          <w:sz w:val="44"/>
          <w:szCs w:val="44"/>
        </w:rPr>
        <w:t>榆树市司法局（</w:t>
      </w:r>
      <w:r>
        <w:rPr>
          <w:rFonts w:hint="eastAsia" w:ascii="黑体" w:hAnsi="黑体" w:eastAsia="黑体" w:cs="黑体"/>
          <w:sz w:val="44"/>
          <w:szCs w:val="44"/>
          <w:lang w:val="en-US" w:eastAsia="zh-CN"/>
        </w:rPr>
        <w:t>汇总</w:t>
      </w:r>
      <w:r>
        <w:rPr>
          <w:rFonts w:hint="eastAsia" w:ascii="黑体" w:hAnsi="黑体" w:eastAsia="黑体" w:cs="黑体"/>
          <w:sz w:val="44"/>
          <w:szCs w:val="44"/>
        </w:rPr>
        <w:t>）部门决算</w:t>
      </w:r>
    </w:p>
    <w:p w14:paraId="7E4FC93F">
      <w:pPr>
        <w:jc w:val="center"/>
        <w:rPr>
          <w:rFonts w:hint="eastAsia" w:ascii="黑体" w:hAnsi="黑体" w:eastAsia="黑体" w:cs="黑体"/>
          <w:sz w:val="44"/>
          <w:szCs w:val="44"/>
        </w:rPr>
      </w:pPr>
    </w:p>
    <w:p w14:paraId="66F0AC20">
      <w:pPr>
        <w:jc w:val="center"/>
        <w:rPr>
          <w:rFonts w:hint="eastAsia" w:ascii="黑体" w:hAnsi="黑体" w:eastAsia="黑体" w:cs="黑体"/>
          <w:sz w:val="44"/>
          <w:szCs w:val="44"/>
        </w:rPr>
      </w:pPr>
    </w:p>
    <w:p w14:paraId="1E920865">
      <w:pPr>
        <w:rPr>
          <w:rFonts w:hint="eastAsia"/>
        </w:rPr>
      </w:pPr>
    </w:p>
    <w:p w14:paraId="7D725254">
      <w:pPr>
        <w:rPr>
          <w:rFonts w:hint="eastAsia"/>
        </w:rPr>
      </w:pPr>
    </w:p>
    <w:p w14:paraId="56281C0B">
      <w:pPr>
        <w:rPr>
          <w:rFonts w:hint="eastAsia"/>
        </w:rPr>
      </w:pPr>
    </w:p>
    <w:p w14:paraId="4B762BFD">
      <w:pPr>
        <w:rPr>
          <w:rFonts w:hint="eastAsia"/>
        </w:rPr>
      </w:pPr>
    </w:p>
    <w:p w14:paraId="3076AB8D">
      <w:pPr>
        <w:rPr>
          <w:rFonts w:hint="eastAsia"/>
        </w:rPr>
      </w:pPr>
    </w:p>
    <w:p w14:paraId="15A955AF">
      <w:pPr>
        <w:rPr>
          <w:rFonts w:hint="eastAsia"/>
        </w:rPr>
      </w:pPr>
    </w:p>
    <w:p w14:paraId="771CC978">
      <w:pPr>
        <w:rPr>
          <w:rFonts w:hint="eastAsia"/>
        </w:rPr>
      </w:pPr>
    </w:p>
    <w:p w14:paraId="1A289723">
      <w:pPr>
        <w:rPr>
          <w:rFonts w:hint="eastAsia"/>
        </w:rPr>
      </w:pPr>
    </w:p>
    <w:p w14:paraId="062C93A9">
      <w:pPr>
        <w:rPr>
          <w:rFonts w:hint="eastAsia"/>
        </w:rPr>
      </w:pPr>
    </w:p>
    <w:p w14:paraId="0F4130AE">
      <w:pPr>
        <w:rPr>
          <w:rFonts w:hint="eastAsia"/>
        </w:rPr>
      </w:pPr>
    </w:p>
    <w:p w14:paraId="23FB2CD7">
      <w:pPr>
        <w:rPr>
          <w:rFonts w:hint="eastAsia"/>
        </w:rPr>
      </w:pPr>
    </w:p>
    <w:p w14:paraId="13F58E9D">
      <w:pPr>
        <w:rPr>
          <w:rFonts w:hint="eastAsia"/>
        </w:rPr>
      </w:pPr>
    </w:p>
    <w:p w14:paraId="4C235665">
      <w:pPr>
        <w:rPr>
          <w:rFonts w:hint="eastAsia"/>
        </w:rPr>
      </w:pPr>
    </w:p>
    <w:p w14:paraId="0828F7FC">
      <w:pPr>
        <w:rPr>
          <w:rFonts w:hint="eastAsia"/>
        </w:rPr>
      </w:pPr>
    </w:p>
    <w:p w14:paraId="3A3F87D6">
      <w:pPr>
        <w:rPr>
          <w:rFonts w:hint="eastAsia"/>
        </w:rPr>
      </w:pPr>
    </w:p>
    <w:p w14:paraId="45AF5371">
      <w:pPr>
        <w:rPr>
          <w:rFonts w:hint="eastAsia"/>
        </w:rPr>
      </w:pPr>
    </w:p>
    <w:p w14:paraId="34668A9F">
      <w:pPr>
        <w:rPr>
          <w:rFonts w:hint="eastAsia"/>
        </w:rPr>
      </w:pPr>
    </w:p>
    <w:p w14:paraId="2B92BD58">
      <w:pPr>
        <w:rPr>
          <w:rFonts w:hint="eastAsia"/>
        </w:rPr>
      </w:pPr>
    </w:p>
    <w:p w14:paraId="0290D21E">
      <w:pPr>
        <w:jc w:val="center"/>
        <w:rPr>
          <w:rFonts w:hint="eastAsia"/>
          <w:sz w:val="32"/>
          <w:szCs w:val="32"/>
        </w:rPr>
      </w:pPr>
      <w:r>
        <w:rPr>
          <w:rFonts w:hint="eastAsia"/>
          <w:sz w:val="32"/>
          <w:szCs w:val="32"/>
        </w:rPr>
        <w:t>2024 年</w:t>
      </w:r>
      <w:r>
        <w:rPr>
          <w:rFonts w:hint="eastAsia" w:eastAsia="宋体"/>
          <w:sz w:val="32"/>
          <w:szCs w:val="32"/>
          <w:lang w:val="en-US" w:eastAsia="zh-CN"/>
        </w:rPr>
        <w:t>10</w:t>
      </w:r>
      <w:r>
        <w:rPr>
          <w:rFonts w:hint="eastAsia"/>
          <w:sz w:val="32"/>
          <w:szCs w:val="32"/>
        </w:rPr>
        <w:t>月2</w:t>
      </w:r>
      <w:r>
        <w:rPr>
          <w:rFonts w:hint="eastAsia" w:eastAsia="宋体"/>
          <w:sz w:val="32"/>
          <w:szCs w:val="32"/>
          <w:lang w:val="en-US" w:eastAsia="zh-CN"/>
        </w:rPr>
        <w:t>3</w:t>
      </w:r>
      <w:r>
        <w:rPr>
          <w:rFonts w:hint="eastAsia"/>
          <w:sz w:val="32"/>
          <w:szCs w:val="32"/>
        </w:rPr>
        <w:t>日</w:t>
      </w:r>
    </w:p>
    <w:p w14:paraId="5488E2C5">
      <w:pPr>
        <w:jc w:val="center"/>
        <w:rPr>
          <w:rFonts w:hint="eastAsia"/>
          <w:sz w:val="32"/>
          <w:szCs w:val="32"/>
        </w:rPr>
      </w:pPr>
    </w:p>
    <w:p w14:paraId="0965D6F6">
      <w:pPr>
        <w:jc w:val="center"/>
        <w:rPr>
          <w:rFonts w:hint="eastAsia"/>
          <w:sz w:val="32"/>
          <w:szCs w:val="32"/>
        </w:rPr>
      </w:pPr>
    </w:p>
    <w:p w14:paraId="49CD534E">
      <w:pPr>
        <w:jc w:val="center"/>
        <w:rPr>
          <w:rFonts w:hint="eastAsia"/>
          <w:sz w:val="32"/>
          <w:szCs w:val="32"/>
        </w:rPr>
      </w:pPr>
    </w:p>
    <w:p w14:paraId="7FFE369C">
      <w:pPr>
        <w:jc w:val="center"/>
        <w:rPr>
          <w:rFonts w:hint="eastAsia"/>
          <w:sz w:val="32"/>
          <w:szCs w:val="32"/>
        </w:rPr>
      </w:pPr>
    </w:p>
    <w:p w14:paraId="45C41150">
      <w:pPr>
        <w:jc w:val="center"/>
        <w:rPr>
          <w:rFonts w:hint="eastAsia"/>
          <w:sz w:val="32"/>
          <w:szCs w:val="32"/>
        </w:rPr>
      </w:pPr>
    </w:p>
    <w:p w14:paraId="1734A43D">
      <w:pPr>
        <w:rPr>
          <w:rFonts w:hint="eastAsia"/>
        </w:rPr>
      </w:pPr>
    </w:p>
    <w:p w14:paraId="373A86AE">
      <w:pPr>
        <w:rPr>
          <w:rFonts w:hint="eastAsia"/>
        </w:rPr>
      </w:pPr>
    </w:p>
    <w:p w14:paraId="0D0E9136">
      <w:pPr>
        <w:jc w:val="center"/>
        <w:rPr>
          <w:rFonts w:hint="eastAsia" w:ascii="仿宋_GB2312" w:hAnsi="仿宋_GB2312" w:eastAsia="仿宋_GB2312" w:cs="仿宋_GB2312"/>
          <w:sz w:val="44"/>
          <w:szCs w:val="44"/>
        </w:rPr>
      </w:pPr>
      <w:r>
        <w:rPr>
          <w:rFonts w:hint="eastAsia" w:ascii="仿宋_GB2312" w:hAnsi="仿宋_GB2312" w:eastAsia="仿宋_GB2312" w:cs="仿宋_GB2312"/>
          <w:sz w:val="44"/>
          <w:szCs w:val="44"/>
        </w:rPr>
        <w:t>目   录</w:t>
      </w:r>
    </w:p>
    <w:p w14:paraId="3A7342A7">
      <w:pPr>
        <w:rPr>
          <w:rFonts w:hint="eastAsia" w:ascii="仿宋_GB2312" w:hAnsi="仿宋_GB2312" w:eastAsia="仿宋_GB2312" w:cs="仿宋_GB2312"/>
          <w:sz w:val="32"/>
          <w:szCs w:val="32"/>
        </w:rPr>
      </w:pPr>
    </w:p>
    <w:p w14:paraId="6F328577">
      <w:pPr>
        <w:rPr>
          <w:rFonts w:hint="eastAsia" w:ascii="仿宋_GB2312" w:hAnsi="仿宋_GB2312" w:eastAsia="仿宋_GB2312" w:cs="仿宋_GB2312"/>
          <w:sz w:val="32"/>
          <w:szCs w:val="32"/>
        </w:rPr>
      </w:pPr>
    </w:p>
    <w:p w14:paraId="27342366">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第一部分  部门概况</w:t>
      </w:r>
    </w:p>
    <w:p w14:paraId="088DF7E8">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一、部门职责</w:t>
      </w:r>
    </w:p>
    <w:p w14:paraId="2D3C92D6">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二、机构设置及部门决算单位构成</w:t>
      </w:r>
    </w:p>
    <w:p w14:paraId="5F970DF8">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第二部分 2023 年度部门决算表</w:t>
      </w:r>
    </w:p>
    <w:p w14:paraId="75D6EE8A">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一、收入支出决算总表</w:t>
      </w:r>
    </w:p>
    <w:p w14:paraId="08B5220E">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二、收入决算表</w:t>
      </w:r>
    </w:p>
    <w:p w14:paraId="4C8CC56D">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三、支出决算表</w:t>
      </w:r>
    </w:p>
    <w:p w14:paraId="39884CA3">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四、财政拨款收入支出决算总表</w:t>
      </w:r>
    </w:p>
    <w:p w14:paraId="27296F0A">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五、一般公共预算财政拨款支出决算表</w:t>
      </w:r>
    </w:p>
    <w:p w14:paraId="73882C12">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六、一般公共预算财政拨款基本支出决算明细表</w:t>
      </w:r>
    </w:p>
    <w:p w14:paraId="01812F66">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七、政府性基金预算财政拨款收入支出决算表</w:t>
      </w:r>
    </w:p>
    <w:p w14:paraId="0F5442E0">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 国有资本经营预算财政拨款支出决算表</w:t>
      </w:r>
    </w:p>
    <w:p w14:paraId="2DF86909">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九、财政拨款“三公”经费支出决算表</w:t>
      </w:r>
    </w:p>
    <w:p w14:paraId="4DF7236F">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十、部门预算项目支出绩效自评表</w:t>
      </w:r>
    </w:p>
    <w:p w14:paraId="52224883">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第三部分  2023 年度部门决算情况说明</w:t>
      </w:r>
    </w:p>
    <w:p w14:paraId="2C5BB8AA">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一、收入支出决算总体情况说明</w:t>
      </w:r>
    </w:p>
    <w:p w14:paraId="1F7EC01F">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二、收入决算情况说明</w:t>
      </w:r>
    </w:p>
    <w:p w14:paraId="2A5964EA">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三、支出决算情况说明</w:t>
      </w:r>
    </w:p>
    <w:p w14:paraId="77C3B376">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四、财政拨款收入支出决算总体情况说明</w:t>
      </w:r>
    </w:p>
    <w:p w14:paraId="2FF86E17">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五、一般公共预算财政拨款支出决算情况说明</w:t>
      </w:r>
    </w:p>
    <w:p w14:paraId="4DA1DC41">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六、一般公共预算财政拨款基本支出决算情况说明</w:t>
      </w:r>
    </w:p>
    <w:p w14:paraId="03C261D7">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七、政府性基金预算财政拨款收入支出决算情况说明</w:t>
      </w:r>
    </w:p>
    <w:p w14:paraId="516184F0">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 国有资本经营预算财政拨款支出决算情况说明</w:t>
      </w:r>
    </w:p>
    <w:p w14:paraId="65339D02">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九、财政拨款“三公”经费支出决算情况说明</w:t>
      </w:r>
    </w:p>
    <w:p w14:paraId="14DA1AB5">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十、绩效评价情况说明</w:t>
      </w:r>
    </w:p>
    <w:p w14:paraId="527D2E73">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十一、其他重要事项情况说明</w:t>
      </w:r>
    </w:p>
    <w:p w14:paraId="37AE3997">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第四部分  名词解释</w:t>
      </w:r>
    </w:p>
    <w:p w14:paraId="418C1E8E">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p>
    <w:p w14:paraId="4F5E2FF7">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p>
    <w:p w14:paraId="200CDC00">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p>
    <w:p w14:paraId="505B13CD">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p>
    <w:p w14:paraId="288825FC">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p>
    <w:p w14:paraId="5F5680F0">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p>
    <w:p w14:paraId="525D4F8C">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p>
    <w:p w14:paraId="2CEA2BE5">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p>
    <w:p w14:paraId="5F1F10EA">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p>
    <w:p w14:paraId="5D65EA1E">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p>
    <w:p w14:paraId="5E5536E3">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p>
    <w:p w14:paraId="51DBE4F9">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p>
    <w:p w14:paraId="096A7AB1">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p>
    <w:p w14:paraId="12D26868">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p>
    <w:p w14:paraId="58A6B456">
      <w:pPr>
        <w:keepNext w:val="0"/>
        <w:keepLines w:val="0"/>
        <w:pageBreakBefore w:val="0"/>
        <w:widowControl/>
        <w:kinsoku w:val="0"/>
        <w:wordWrap/>
        <w:overflowPunct/>
        <w:topLinePunct w:val="0"/>
        <w:autoSpaceDE w:val="0"/>
        <w:autoSpaceDN w:val="0"/>
        <w:bidi w:val="0"/>
        <w:adjustRightInd w:val="0"/>
        <w:snapToGrid w:val="0"/>
        <w:spacing w:line="365" w:lineRule="auto"/>
        <w:textAlignment w:val="baseline"/>
        <w:rPr>
          <w:rFonts w:hint="eastAsia" w:ascii="仿宋_GB2312" w:hAnsi="仿宋_GB2312" w:eastAsia="仿宋_GB2312" w:cs="仿宋_GB2312"/>
          <w:sz w:val="32"/>
          <w:szCs w:val="32"/>
        </w:rPr>
      </w:pPr>
    </w:p>
    <w:p w14:paraId="502E3E41">
      <w:pPr>
        <w:keepNext w:val="0"/>
        <w:keepLines w:val="0"/>
        <w:pageBreakBefore w:val="0"/>
        <w:widowControl/>
        <w:kinsoku w:val="0"/>
        <w:wordWrap/>
        <w:overflowPunct/>
        <w:topLinePunct w:val="0"/>
        <w:autoSpaceDE w:val="0"/>
        <w:autoSpaceDN w:val="0"/>
        <w:bidi w:val="0"/>
        <w:adjustRightInd w:val="0"/>
        <w:snapToGrid w:val="0"/>
        <w:spacing w:line="365" w:lineRule="auto"/>
        <w:jc w:val="center"/>
        <w:textAlignment w:val="baseline"/>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第一部分   部门概况</w:t>
      </w:r>
    </w:p>
    <w:p w14:paraId="51C4C87C">
      <w:pPr>
        <w:keepNext w:val="0"/>
        <w:keepLines w:val="0"/>
        <w:pageBreakBefore w:val="0"/>
        <w:widowControl/>
        <w:kinsoku w:val="0"/>
        <w:wordWrap/>
        <w:overflowPunct/>
        <w:topLinePunct w:val="0"/>
        <w:autoSpaceDE w:val="0"/>
        <w:autoSpaceDN w:val="0"/>
        <w:bidi w:val="0"/>
        <w:adjustRightInd w:val="0"/>
        <w:snapToGrid w:val="0"/>
        <w:spacing w:line="365" w:lineRule="auto"/>
        <w:ind w:firstLine="883" w:firstLineChars="200"/>
        <w:jc w:val="center"/>
        <w:textAlignment w:val="baseline"/>
        <w:rPr>
          <w:rFonts w:hint="eastAsia" w:ascii="仿宋_GB2312" w:hAnsi="仿宋_GB2312" w:eastAsia="仿宋_GB2312" w:cs="仿宋_GB2312"/>
          <w:b/>
          <w:bCs/>
          <w:sz w:val="44"/>
          <w:szCs w:val="44"/>
        </w:rPr>
      </w:pPr>
    </w:p>
    <w:p w14:paraId="1D74FD9E">
      <w:pPr>
        <w:keepNext w:val="0"/>
        <w:keepLines w:val="0"/>
        <w:pageBreakBefore w:val="0"/>
        <w:widowControl/>
        <w:kinsoku/>
        <w:wordWrap/>
        <w:overflowPunct w:val="0"/>
        <w:topLinePunct w:val="0"/>
        <w:autoSpaceDE w:val="0"/>
        <w:autoSpaceDN/>
        <w:bidi w:val="0"/>
        <w:adjustRightInd w:val="0"/>
        <w:snapToGrid w:val="0"/>
        <w:spacing w:line="365" w:lineRule="auto"/>
        <w:ind w:firstLine="643"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一、部门主要职责</w:t>
      </w:r>
    </w:p>
    <w:p w14:paraId="14E7AC96">
      <w:pPr>
        <w:keepNext w:val="0"/>
        <w:keepLines w:val="0"/>
        <w:pageBreakBefore w:val="0"/>
        <w:widowControl/>
        <w:kinsoku/>
        <w:wordWrap/>
        <w:overflowPunct w:val="0"/>
        <w:topLinePunct w:val="0"/>
        <w:autoSpaceDE w:val="0"/>
        <w:autoSpaceDN/>
        <w:bidi w:val="0"/>
        <w:adjustRightInd w:val="0"/>
        <w:snapToGrid w:val="0"/>
        <w:spacing w:line="365" w:lineRule="auto"/>
        <w:ind w:firstLine="643"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第一条  </w:t>
      </w:r>
      <w:r>
        <w:rPr>
          <w:rFonts w:hint="eastAsia" w:ascii="仿宋_GB2312" w:hAnsi="仿宋_GB2312" w:eastAsia="仿宋_GB2312" w:cs="仿宋_GB2312"/>
          <w:sz w:val="32"/>
          <w:szCs w:val="32"/>
        </w:rPr>
        <w:t>根据《中共吉林省委关于市县机构改革总体意见》及吉林省委、省政府批准的《榆树市机构改革方案》，制定本规定。</w:t>
      </w:r>
    </w:p>
    <w:p w14:paraId="69CEFF40">
      <w:pPr>
        <w:keepNext w:val="0"/>
        <w:keepLines w:val="0"/>
        <w:pageBreakBefore w:val="0"/>
        <w:widowControl/>
        <w:kinsoku/>
        <w:wordWrap/>
        <w:overflowPunct w:val="0"/>
        <w:topLinePunct w:val="0"/>
        <w:autoSpaceDE w:val="0"/>
        <w:autoSpaceDN/>
        <w:bidi w:val="0"/>
        <w:adjustRightInd w:val="0"/>
        <w:snapToGrid w:val="0"/>
        <w:spacing w:line="365" w:lineRule="auto"/>
        <w:ind w:firstLine="643"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第二条</w:t>
      </w:r>
      <w:r>
        <w:rPr>
          <w:rFonts w:hint="eastAsia" w:ascii="仿宋_GB2312" w:hAnsi="仿宋_GB2312" w:eastAsia="仿宋_GB2312" w:cs="仿宋_GB2312"/>
          <w:sz w:val="32"/>
          <w:szCs w:val="32"/>
        </w:rPr>
        <w:t xml:space="preserve">  榆树市司法局(</w:t>
      </w:r>
      <w:r>
        <w:rPr>
          <w:rFonts w:hint="eastAsia" w:ascii="仿宋_GB2312" w:hAnsi="仿宋_GB2312" w:eastAsia="仿宋_GB2312" w:cs="仿宋_GB2312"/>
          <w:sz w:val="32"/>
          <w:szCs w:val="32"/>
          <w:lang w:eastAsia="zh-CN"/>
        </w:rPr>
        <w:t>以下简称</w:t>
      </w:r>
      <w:r>
        <w:rPr>
          <w:rFonts w:hint="eastAsia" w:ascii="仿宋_GB2312" w:hAnsi="仿宋_GB2312" w:eastAsia="仿宋_GB2312" w:cs="仿宋_GB2312"/>
          <w:sz w:val="32"/>
          <w:szCs w:val="32"/>
        </w:rPr>
        <w:t>市司法局)是市政府组成部门，为正科级。中共榆树市委全面依法治市委员会办公室(以下简称市委依法治市办)设在市司法局，接受委员会的直接领导承担委员会具体工作，组织开展全面依法治市重大问题的政策研究，协调督促有关方面落实委员会决定事项、工作部署和要求等市司法局的内设机构根据工作需要承担市委依法治市办相关工作，接受市委依法治市办的统筹协调。</w:t>
      </w:r>
    </w:p>
    <w:p w14:paraId="50EDB2AB">
      <w:pPr>
        <w:keepNext w:val="0"/>
        <w:keepLines w:val="0"/>
        <w:pageBreakBefore w:val="0"/>
        <w:widowControl/>
        <w:kinsoku/>
        <w:wordWrap/>
        <w:overflowPunct w:val="0"/>
        <w:topLinePunct w:val="0"/>
        <w:autoSpaceDE w:val="0"/>
        <w:autoSpaceDN/>
        <w:bidi w:val="0"/>
        <w:adjustRightInd w:val="0"/>
        <w:snapToGrid w:val="0"/>
        <w:spacing w:line="365" w:lineRule="auto"/>
        <w:ind w:firstLine="643"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第三条</w:t>
      </w:r>
      <w:r>
        <w:rPr>
          <w:rFonts w:hint="eastAsia" w:ascii="仿宋_GB2312" w:hAnsi="仿宋_GB2312" w:eastAsia="仿宋_GB2312" w:cs="仿宋_GB2312"/>
          <w:sz w:val="32"/>
          <w:szCs w:val="32"/>
        </w:rPr>
        <w:t xml:space="preserve">  市司法局负责贯彻落实上级关于全面依法治国方针政策和决策部署，在履行职责过程中坚持和加强党对全面依</w:t>
      </w:r>
      <w:r>
        <w:rPr>
          <w:rFonts w:hint="eastAsia" w:ascii="仿宋_GB2312" w:hAnsi="仿宋_GB2312" w:eastAsia="仿宋_GB2312" w:cs="仿宋_GB2312"/>
          <w:sz w:val="32"/>
          <w:szCs w:val="32"/>
          <w:lang w:eastAsia="zh-CN"/>
        </w:rPr>
        <w:t>法</w:t>
      </w:r>
      <w:bookmarkStart w:id="0" w:name="_GoBack"/>
      <w:bookmarkEnd w:id="0"/>
      <w:r>
        <w:rPr>
          <w:rFonts w:hint="eastAsia" w:ascii="仿宋_GB2312" w:hAnsi="仿宋_GB2312" w:eastAsia="仿宋_GB2312" w:cs="仿宋_GB2312"/>
          <w:sz w:val="32"/>
          <w:szCs w:val="32"/>
        </w:rPr>
        <w:t>治国的集中统一领导，主要职责是：</w:t>
      </w:r>
    </w:p>
    <w:p w14:paraId="23F6593A">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贯彻落实全面依法治国方针政策。协调有关方面提出全面依法治市中长期规划建议;制定全市司法行政工作的中长期规划、年度计划并监督实施;指导各乡(镇、街)、各部门、各行业的普法和依法治理工作;负责全市依法治市工作;承担市委依法治市办日常工作。</w:t>
      </w:r>
    </w:p>
    <w:p w14:paraId="441051D4">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承担统筹推进法治政府建设的责任，指导、监督各乡(镇、街)、市政府各部门依法行政工作，负责综合协调行政执法，承担推进行政执法体制改革有关工作。承办申请市政府裁决的行政复议案件工作。指导、监督全市行政复议和行政应诉工作负责行政复议和应诉案件办理工作。</w:t>
      </w:r>
    </w:p>
    <w:p w14:paraId="394F6B5D">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承担统筹规划法治社会建设的责任，负责拟定法治宣传教育规划，组织实施普法宣传工作，组织对外法治宣传。推动人民参与和促进法治建设。指导依法治理和法治创建工作。指导调解工作和人民陪审员、人民监督员选任管理工作，推进司法所建设。</w:t>
      </w:r>
    </w:p>
    <w:p w14:paraId="65790D60">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(四)负责指导、管理全市社区矫正工作。</w:t>
      </w:r>
    </w:p>
    <w:p w14:paraId="33A7F78F">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(五)负责指导、管理全市社区戒毒(康复)工作。</w:t>
      </w:r>
    </w:p>
    <w:p w14:paraId="4716272F">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(六)指导管理全市刑满释放人员的帮教安置工作。</w:t>
      </w:r>
    </w:p>
    <w:p w14:paraId="36F7D388">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(七)负责拟定公共法律服务体系建设规划并指导实施，统筹和布局城乡、区域法律厭务资源，指导和管理全市的律师、法律援助、法律顾问工作;管理全市社会法律服务机构。</w:t>
      </w:r>
    </w:p>
    <w:p w14:paraId="1A16CA95">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(八)指导和管理全市面向社会服务的司法鉴定工作。</w:t>
      </w:r>
    </w:p>
    <w:p w14:paraId="771CF27D">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(九)指导和管理全市的人民调解、司法所、法律服务所和“148”法律服务工作。</w:t>
      </w:r>
    </w:p>
    <w:p w14:paraId="5F6D3CBA">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(十)承担主管行业领域的安全生产管理，指导督促企事业单位加强安全管理。依照有关法律、法规的规定，履行安全生产监督管理职责，开展监管执法工作等职责。</w:t>
      </w:r>
    </w:p>
    <w:p w14:paraId="3B91D111">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(十一)完成市委、市政府交办的其他任务。</w:t>
      </w:r>
    </w:p>
    <w:p w14:paraId="70760D64">
      <w:pPr>
        <w:keepNext w:val="0"/>
        <w:keepLines w:val="0"/>
        <w:pageBreakBefore w:val="0"/>
        <w:widowControl/>
        <w:kinsoku/>
        <w:wordWrap/>
        <w:overflowPunct w:val="0"/>
        <w:topLinePunct w:val="0"/>
        <w:autoSpaceDE w:val="0"/>
        <w:autoSpaceDN/>
        <w:bidi w:val="0"/>
        <w:adjustRightInd w:val="0"/>
        <w:snapToGrid w:val="0"/>
        <w:spacing w:line="365" w:lineRule="auto"/>
        <w:ind w:firstLine="643"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第四条</w:t>
      </w:r>
      <w:r>
        <w:rPr>
          <w:rFonts w:hint="eastAsia" w:ascii="仿宋_GB2312" w:hAnsi="仿宋_GB2312" w:eastAsia="仿宋_GB2312" w:cs="仿宋_GB2312"/>
          <w:sz w:val="32"/>
          <w:szCs w:val="32"/>
        </w:rPr>
        <w:t xml:space="preserve">  市司法局设下列内设机构：</w:t>
      </w:r>
    </w:p>
    <w:p w14:paraId="12560F83">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(一)综合科。负责局机关日常运转工作。负责本系统安全生产管理工作。</w:t>
      </w:r>
    </w:p>
    <w:p w14:paraId="67E1C4A7">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普法依法治理科(市委全面依法治市委员会办公室。）承担市委依法治市委员会办公室具体工作;负责“谁执法、谁普法”普法责任制的落实;负责普法与依法治理工作的规划制定组织协调、检查指导、总结验收工作。</w:t>
      </w:r>
    </w:p>
    <w:p w14:paraId="49142DEA">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(三)基层科。承担基层司法所指导管理和建设工作;负责指导人民调解工作;负责指导和管理刑满释放人员的帮教安置工作;负责人民陪审员、人民监督员选任和管理工作。</w:t>
      </w:r>
    </w:p>
    <w:p w14:paraId="13238AB9">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法律服务监督科。承担法律服务市场监督管理、清理整顿工作;负责律师所设立、变更、撤销初审和律师申请执业证初审工作;负责公证、律师、法律援助、司法鉴定日常监管和执业监督工作;负责指导管理基层法律服务工作;负责政府法律顾问团的协调、联络、指派、总结工作。</w:t>
      </w:r>
    </w:p>
    <w:p w14:paraId="21FE907F">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(五)社区矫正科。承担上级有关社区矫正的法律法规和工作部署;负责制定本辖区社区矫正工作方案、计划及有关工作制度;负责指导、组织社区服刑人员的监督管理等工作。</w:t>
      </w:r>
    </w:p>
    <w:p w14:paraId="661A13C3">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(六)社区戒毒(康复)科。承担贯彻落实上级有关社区戒毒(康复)的政策和工作部署;负责指导基层司法所社区戒毒(康复)监督管理工作。</w:t>
      </w:r>
    </w:p>
    <w:p w14:paraId="291C0D61">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(七)行政复议科。负责《中华人民共和国行政复议法》的宣传贯彻和落实;负责市行政复议委员会办公室具体工作。</w:t>
      </w:r>
    </w:p>
    <w:p w14:paraId="3E62F2CF">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(八)行政执法监督科。负责监督检查行政执法部门法律法规的贯彻执行情况;负责全市行政执法案卷评查及执法文书的规范、指导、监督和检查工作</w:t>
      </w:r>
      <w:r>
        <w:rPr>
          <w:rFonts w:hint="eastAsia" w:ascii="仿宋_GB2312" w:hAnsi="仿宋_GB2312" w:eastAsia="仿宋_GB2312" w:cs="仿宋_GB2312"/>
          <w:sz w:val="32"/>
          <w:szCs w:val="32"/>
          <w:lang w:eastAsia="zh-CN"/>
        </w:rPr>
        <w:t>。</w:t>
      </w:r>
    </w:p>
    <w:p w14:paraId="1F08685E">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文件审核科。负责市政府规范性文件审核把关和制发工作;负责各乡(镇)人民政府、市区街道办事处和市政府工作部门规范性文件备案、审查和清理工作;负责规范性文件管理中相关制度的制定、检查和监督工作;为市政府重大决策提供法律依据机关党总支。负责局机关和所属单位的党群工作。</w:t>
      </w:r>
    </w:p>
    <w:p w14:paraId="12839D4A">
      <w:pPr>
        <w:keepNext w:val="0"/>
        <w:keepLines w:val="0"/>
        <w:pageBreakBefore w:val="0"/>
        <w:widowControl/>
        <w:kinsoku/>
        <w:wordWrap/>
        <w:overflowPunct w:val="0"/>
        <w:topLinePunct w:val="0"/>
        <w:autoSpaceDE w:val="0"/>
        <w:autoSpaceDN/>
        <w:bidi w:val="0"/>
        <w:adjustRightInd w:val="0"/>
        <w:snapToGrid w:val="0"/>
        <w:spacing w:line="365" w:lineRule="auto"/>
        <w:ind w:firstLine="643"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第五条</w:t>
      </w:r>
      <w:r>
        <w:rPr>
          <w:rFonts w:hint="eastAsia" w:ascii="仿宋_GB2312" w:hAnsi="仿宋_GB2312" w:eastAsia="仿宋_GB2312" w:cs="仿宋_GB2312"/>
          <w:sz w:val="32"/>
          <w:szCs w:val="32"/>
        </w:rPr>
        <w:t xml:space="preserve">  市司法局设置派出机构28个：育民司法所、红星司法所、八号司法所、弓</w:t>
      </w:r>
      <w:r>
        <w:rPr>
          <w:rFonts w:hint="eastAsia" w:ascii="仿宋_GB2312" w:hAnsi="仿宋_GB2312" w:eastAsia="仿宋_GB2312" w:cs="仿宋_GB2312"/>
          <w:sz w:val="32"/>
          <w:szCs w:val="32"/>
          <w:lang w:val="en-US" w:eastAsia="zh-CN"/>
        </w:rPr>
        <w:t>棚</w:t>
      </w:r>
      <w:r>
        <w:rPr>
          <w:rFonts w:hint="eastAsia" w:ascii="仿宋_GB2312" w:hAnsi="仿宋_GB2312" w:eastAsia="仿宋_GB2312" w:cs="仿宋_GB2312"/>
          <w:sz w:val="32"/>
          <w:szCs w:val="32"/>
        </w:rPr>
        <w:t>司法所、太安司法所、先锋司法所五棵树司法所、刘家司法所、闵家司法所、秀水司法所、大坡司法所、保寿司法所、黑林司法所、土桥司法所、新立司法所、大岭司法所、新庄司法所、于家司法所、泗河司法所、青山司法所延和司法所、恩育司法所、城发司法所、环城司法所、华昌司法所、正阳司法所、培英司法所、城郊司法所。</w:t>
      </w:r>
    </w:p>
    <w:p w14:paraId="551951D8">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司法所主要职责：</w:t>
      </w:r>
    </w:p>
    <w:p w14:paraId="0387D59F">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导管理人民调解工作，参与调解疑难、复杂民问纠纷；负责社区矫正工作，组织开展对社区矫正人员的监督管理、教育矫正工作;负责社区戒毒(康复)工作，组织开展对社区戒毒(康复)人员的监督管理、教育矫治工作;协调有关部门和单位开展对刑释人员的帮教安置工作;指导管理基层法律服务工作;组织开展法治宣传教育工作;组织开展基层依法治理工作，为乡镇人民政府(街道办事处)依法行政、依法管理提供法律意见和建议协助基层政府处理社会矛盾纠纷;参与社会治安综合治理工作完成上级司法行政机关和乡镇</w:t>
      </w:r>
      <w:r>
        <w:rPr>
          <w:rFonts w:hint="eastAsia" w:ascii="仿宋_GB2312" w:hAnsi="仿宋_GB2312" w:eastAsia="仿宋_GB2312" w:cs="仿宋_GB2312"/>
          <w:sz w:val="32"/>
          <w:szCs w:val="32"/>
          <w:lang w:eastAsia="zh-CN"/>
        </w:rPr>
        <w:t>人民政府</w:t>
      </w:r>
      <w:r>
        <w:rPr>
          <w:rFonts w:hint="eastAsia" w:ascii="仿宋_GB2312" w:hAnsi="仿宋_GB2312" w:eastAsia="仿宋_GB2312" w:cs="仿宋_GB2312"/>
          <w:sz w:val="32"/>
          <w:szCs w:val="32"/>
        </w:rPr>
        <w:t>(街道办事处)交办的其他工作。</w:t>
      </w:r>
    </w:p>
    <w:p w14:paraId="542E7A51">
      <w:pPr>
        <w:keepNext w:val="0"/>
        <w:keepLines w:val="0"/>
        <w:pageBreakBefore w:val="0"/>
        <w:widowControl/>
        <w:kinsoku/>
        <w:wordWrap/>
        <w:overflowPunct w:val="0"/>
        <w:topLinePunct w:val="0"/>
        <w:autoSpaceDE w:val="0"/>
        <w:autoSpaceDN/>
        <w:bidi w:val="0"/>
        <w:adjustRightInd w:val="0"/>
        <w:snapToGrid w:val="0"/>
        <w:spacing w:line="365" w:lineRule="auto"/>
        <w:ind w:firstLine="643"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第六条 </w:t>
      </w:r>
      <w:r>
        <w:rPr>
          <w:rFonts w:hint="eastAsia" w:ascii="仿宋_GB2312" w:hAnsi="仿宋_GB2312" w:eastAsia="仿宋_GB2312" w:cs="仿宋_GB2312"/>
          <w:sz w:val="32"/>
          <w:szCs w:val="32"/>
        </w:rPr>
        <w:t xml:space="preserve"> 市司法局机关行政编制23名。设局长1名，副局长2名，政治处主任1名(副科级)。内设机构领导职数10名（含机关党总支专职副书记1名)。机关工勤事业编制按实有人数暂保留2名，退一收一，逐步消化，市司法局派出机构(司法员)行政编制56名，派出机构领导职数28名。</w:t>
      </w:r>
    </w:p>
    <w:p w14:paraId="0B638677">
      <w:pPr>
        <w:keepNext w:val="0"/>
        <w:keepLines w:val="0"/>
        <w:pageBreakBefore w:val="0"/>
        <w:widowControl/>
        <w:kinsoku/>
        <w:wordWrap/>
        <w:overflowPunct w:val="0"/>
        <w:topLinePunct w:val="0"/>
        <w:autoSpaceDE w:val="0"/>
        <w:autoSpaceDN/>
        <w:bidi w:val="0"/>
        <w:adjustRightInd w:val="0"/>
        <w:snapToGrid w:val="0"/>
        <w:spacing w:line="365" w:lineRule="auto"/>
        <w:ind w:firstLine="643"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第七条</w:t>
      </w:r>
      <w:r>
        <w:rPr>
          <w:rFonts w:hint="eastAsia" w:ascii="仿宋_GB2312" w:hAnsi="仿宋_GB2312" w:eastAsia="仿宋_GB2312" w:cs="仿宋_GB2312"/>
          <w:sz w:val="32"/>
          <w:szCs w:val="32"/>
        </w:rPr>
        <w:t xml:space="preserve">  市司法局所属事业单位的设置、职责和编制事项另行规定。</w:t>
      </w:r>
    </w:p>
    <w:p w14:paraId="636DF772">
      <w:pPr>
        <w:keepNext w:val="0"/>
        <w:keepLines w:val="0"/>
        <w:pageBreakBefore w:val="0"/>
        <w:widowControl/>
        <w:kinsoku/>
        <w:wordWrap/>
        <w:overflowPunct w:val="0"/>
        <w:topLinePunct w:val="0"/>
        <w:autoSpaceDE w:val="0"/>
        <w:autoSpaceDN/>
        <w:bidi w:val="0"/>
        <w:adjustRightInd w:val="0"/>
        <w:snapToGrid w:val="0"/>
        <w:spacing w:line="365" w:lineRule="auto"/>
        <w:ind w:firstLine="643"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第八条</w:t>
      </w:r>
      <w:r>
        <w:rPr>
          <w:rFonts w:hint="eastAsia" w:ascii="仿宋_GB2312" w:hAnsi="仿宋_GB2312" w:eastAsia="仿宋_GB2312" w:cs="仿宋_GB2312"/>
          <w:sz w:val="32"/>
          <w:szCs w:val="32"/>
        </w:rPr>
        <w:t xml:space="preserve">  本规定由榆树市委机构编制委员会办公室负责解释，其调整由榆树市委机构编制委员会办公室按规定程序办理</w:t>
      </w:r>
    </w:p>
    <w:p w14:paraId="2381B5BF">
      <w:pPr>
        <w:keepNext w:val="0"/>
        <w:keepLines w:val="0"/>
        <w:pageBreakBefore w:val="0"/>
        <w:widowControl/>
        <w:kinsoku/>
        <w:wordWrap/>
        <w:overflowPunct w:val="0"/>
        <w:topLinePunct w:val="0"/>
        <w:autoSpaceDE w:val="0"/>
        <w:autoSpaceDN/>
        <w:bidi w:val="0"/>
        <w:adjustRightInd w:val="0"/>
        <w:snapToGrid w:val="0"/>
        <w:spacing w:line="365" w:lineRule="auto"/>
        <w:ind w:firstLine="602"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bCs/>
          <w:sz w:val="30"/>
          <w:szCs w:val="30"/>
        </w:rPr>
        <w:t>第九条</w:t>
      </w:r>
      <w:r>
        <w:rPr>
          <w:rFonts w:hint="eastAsia" w:ascii="仿宋_GB2312" w:hAnsi="仿宋_GB2312" w:eastAsia="仿宋_GB2312" w:cs="仿宋_GB2312"/>
          <w:sz w:val="32"/>
          <w:szCs w:val="32"/>
        </w:rPr>
        <w:t xml:space="preserve">  本规定自2019年3月20日起实行。</w:t>
      </w:r>
    </w:p>
    <w:p w14:paraId="6DA1D2DE">
      <w:pPr>
        <w:keepNext w:val="0"/>
        <w:keepLines w:val="0"/>
        <w:pageBreakBefore w:val="0"/>
        <w:widowControl/>
        <w:kinsoku/>
        <w:wordWrap/>
        <w:overflowPunct w:val="0"/>
        <w:topLinePunct w:val="0"/>
        <w:autoSpaceDE w:val="0"/>
        <w:autoSpaceDN/>
        <w:bidi w:val="0"/>
        <w:adjustRightInd w:val="0"/>
        <w:snapToGrid w:val="0"/>
        <w:spacing w:line="365" w:lineRule="auto"/>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二、机构设置及部门决算单位构成</w:t>
      </w:r>
    </w:p>
    <w:p w14:paraId="747A16F1">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市司法局设下列内设机构：</w:t>
      </w:r>
    </w:p>
    <w:p w14:paraId="74A3B278">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综合科。(二)普法依法治理科。(三)基层科。(四)法律服务监督科。(五)社区矫正科。(六)社区戒毒(康复)科。(七)行政复议科。(八)行政执法监督科。(九)文件审核科。市司法局设置派出机构28个：育民司法所、红星司法所、八号司法所、弓</w:t>
      </w:r>
      <w:r>
        <w:rPr>
          <w:rFonts w:hint="eastAsia" w:ascii="仿宋_GB2312" w:hAnsi="仿宋_GB2312" w:eastAsia="仿宋_GB2312" w:cs="仿宋_GB2312"/>
          <w:sz w:val="32"/>
          <w:szCs w:val="32"/>
          <w:lang w:val="en-US" w:eastAsia="zh-CN"/>
        </w:rPr>
        <w:t>棚</w:t>
      </w:r>
      <w:r>
        <w:rPr>
          <w:rFonts w:hint="eastAsia" w:ascii="仿宋_GB2312" w:hAnsi="仿宋_GB2312" w:eastAsia="仿宋_GB2312" w:cs="仿宋_GB2312"/>
          <w:sz w:val="32"/>
          <w:szCs w:val="32"/>
        </w:rPr>
        <w:t>司法所、太安司法所、先锋司法所五棵树司法所、刘家司法所、闵家司法所、秀水司法所、大坡司法所、保寿司法所、黑林司法所、土桥司法所、新立司法所、大岭司法所、新庄司法所、于家司法所、泗河司法所、青山司法所延和司法所、恩育司法所、城发司法所、环城司法所、华昌司法所、正阳司法所、培英司法所、城郊司法所。</w:t>
      </w:r>
    </w:p>
    <w:p w14:paraId="67652AC4">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纳入榆树市司法局2023 年度部门决算编制范围的单位包括：</w:t>
      </w:r>
    </w:p>
    <w:p w14:paraId="19330C23">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1.榆树市司法局本级</w:t>
      </w:r>
    </w:p>
    <w:p w14:paraId="6F3B2848">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2.吉林省榆树市公证处</w:t>
      </w:r>
    </w:p>
    <w:p w14:paraId="589DBE67">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3.榆树市法律援助中心</w:t>
      </w:r>
    </w:p>
    <w:p w14:paraId="06CFC083">
      <w:pPr>
        <w:keepNext w:val="0"/>
        <w:keepLines w:val="0"/>
        <w:pageBreakBefore w:val="0"/>
        <w:widowControl/>
        <w:kinsoku/>
        <w:wordWrap/>
        <w:overflowPunct w:val="0"/>
        <w:topLinePunct w:val="0"/>
        <w:autoSpaceDE w:val="0"/>
        <w:autoSpaceDN/>
        <w:bidi w:val="0"/>
        <w:adjustRightInd w:val="0"/>
        <w:snapToGrid w:val="0"/>
        <w:spacing w:line="365" w:lineRule="auto"/>
        <w:ind w:firstLine="640" w:firstLineChars="200"/>
        <w:textAlignment w:val="baseline"/>
        <w:rPr>
          <w:rFonts w:hint="eastAsia" w:ascii="仿宋_GB2312" w:hAnsi="仿宋_GB2312" w:eastAsia="仿宋_GB2312" w:cs="仿宋_GB2312"/>
          <w:sz w:val="32"/>
          <w:szCs w:val="32"/>
        </w:rPr>
      </w:pPr>
    </w:p>
    <w:p w14:paraId="2DD35C11">
      <w:pPr>
        <w:spacing w:before="189" w:line="186" w:lineRule="auto"/>
        <w:jc w:val="center"/>
        <w:rPr>
          <w:rFonts w:hint="default" w:ascii="Times New Roman" w:hAnsi="Times New Roman" w:eastAsia="仿宋_GB2312" w:cs="Times New Roman"/>
          <w:b/>
          <w:bCs/>
          <w:sz w:val="44"/>
          <w:szCs w:val="44"/>
        </w:rPr>
      </w:pPr>
      <w:r>
        <w:rPr>
          <w:rFonts w:hint="default" w:ascii="Times New Roman" w:hAnsi="Times New Roman" w:eastAsia="仿宋_GB2312" w:cs="Times New Roman"/>
          <w:b/>
          <w:bCs/>
          <w:sz w:val="44"/>
          <w:szCs w:val="44"/>
        </w:rPr>
        <w:t>第二部分</w:t>
      </w:r>
      <w:r>
        <w:rPr>
          <w:rFonts w:hint="default" w:ascii="Times New Roman" w:hAnsi="Times New Roman" w:eastAsia="仿宋_GB2312" w:cs="Times New Roman"/>
          <w:b/>
          <w:bCs/>
          <w:spacing w:val="111"/>
          <w:sz w:val="44"/>
          <w:szCs w:val="44"/>
        </w:rPr>
        <w:t xml:space="preserve"> </w:t>
      </w:r>
      <w:r>
        <w:rPr>
          <w:rFonts w:hint="default" w:ascii="Times New Roman" w:hAnsi="Times New Roman" w:eastAsia="仿宋_GB2312" w:cs="Times New Roman"/>
          <w:b/>
          <w:bCs/>
          <w:sz w:val="43"/>
          <w:szCs w:val="43"/>
        </w:rPr>
        <w:t>2023</w:t>
      </w:r>
      <w:r>
        <w:rPr>
          <w:rFonts w:hint="default" w:ascii="Times New Roman" w:hAnsi="Times New Roman" w:eastAsia="仿宋_GB2312" w:cs="Times New Roman"/>
          <w:b/>
          <w:bCs/>
          <w:spacing w:val="-103"/>
          <w:sz w:val="43"/>
          <w:szCs w:val="43"/>
        </w:rPr>
        <w:t xml:space="preserve"> </w:t>
      </w:r>
      <w:r>
        <w:rPr>
          <w:rFonts w:hint="default" w:ascii="Times New Roman" w:hAnsi="Times New Roman" w:eastAsia="仿宋_GB2312" w:cs="Times New Roman"/>
          <w:b/>
          <w:bCs/>
          <w:sz w:val="44"/>
          <w:szCs w:val="44"/>
        </w:rPr>
        <w:t>年度部门决算表</w:t>
      </w:r>
    </w:p>
    <w:p w14:paraId="65091FDF">
      <w:pPr>
        <w:pStyle w:val="2"/>
        <w:spacing w:line="268" w:lineRule="auto"/>
        <w:rPr>
          <w:rFonts w:hint="default" w:ascii="Times New Roman" w:hAnsi="Times New Roman" w:eastAsia="仿宋_GB2312" w:cs="Times New Roman"/>
        </w:rPr>
      </w:pPr>
    </w:p>
    <w:p w14:paraId="6CF3A856">
      <w:pPr>
        <w:pStyle w:val="2"/>
        <w:spacing w:line="268" w:lineRule="auto"/>
        <w:rPr>
          <w:rFonts w:hint="default" w:ascii="Times New Roman" w:hAnsi="Times New Roman" w:eastAsia="仿宋_GB2312" w:cs="Times New Roman"/>
        </w:rPr>
      </w:pPr>
    </w:p>
    <w:p w14:paraId="726E5A79">
      <w:pPr>
        <w:pStyle w:val="2"/>
        <w:spacing w:line="268" w:lineRule="auto"/>
        <w:rPr>
          <w:rFonts w:hint="default" w:ascii="Times New Roman" w:hAnsi="Times New Roman" w:eastAsia="仿宋_GB2312" w:cs="Times New Roman"/>
        </w:rPr>
      </w:pPr>
    </w:p>
    <w:p w14:paraId="63960A5D">
      <w:pPr>
        <w:spacing w:before="100" w:line="224" w:lineRule="auto"/>
        <w:ind w:left="672"/>
        <w:rPr>
          <w:rFonts w:hint="default" w:ascii="Times New Roman" w:hAnsi="Times New Roman" w:eastAsia="仿宋_GB2312" w:cs="Times New Roman"/>
          <w:b/>
          <w:bCs/>
          <w:sz w:val="31"/>
          <w:szCs w:val="31"/>
        </w:rPr>
      </w:pPr>
      <w:r>
        <w:rPr>
          <w:rFonts w:hint="default" w:ascii="Times New Roman" w:hAnsi="Times New Roman" w:eastAsia="仿宋_GB2312" w:cs="Times New Roman"/>
          <w:b/>
          <w:bCs/>
          <w:spacing w:val="7"/>
          <w:sz w:val="31"/>
          <w:szCs w:val="31"/>
        </w:rPr>
        <w:t>一、收入支出决算总表</w:t>
      </w:r>
    </w:p>
    <w:p w14:paraId="26556A69">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drawing>
          <wp:inline distT="0" distB="0" distL="114300" distR="114300">
            <wp:extent cx="5264785" cy="2847340"/>
            <wp:effectExtent l="0" t="0" r="12065" b="10160"/>
            <wp:docPr id="15" name="图片 15" descr="1收入支出决算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收入支出决算总表"/>
                    <pic:cNvPicPr>
                      <a:picLocks noChangeAspect="1"/>
                    </pic:cNvPicPr>
                  </pic:nvPicPr>
                  <pic:blipFill>
                    <a:blip r:embed="rId7"/>
                    <a:stretch>
                      <a:fillRect/>
                    </a:stretch>
                  </pic:blipFill>
                  <pic:spPr>
                    <a:xfrm>
                      <a:off x="0" y="0"/>
                      <a:ext cx="5264785" cy="2847340"/>
                    </a:xfrm>
                    <a:prstGeom prst="rect">
                      <a:avLst/>
                    </a:prstGeom>
                  </pic:spPr>
                </pic:pic>
              </a:graphicData>
            </a:graphic>
          </wp:inline>
        </w:drawing>
      </w:r>
    </w:p>
    <w:p w14:paraId="29DF2D66">
      <w:pPr>
        <w:spacing w:before="101" w:line="224" w:lineRule="auto"/>
        <w:ind w:left="672"/>
        <w:rPr>
          <w:rFonts w:hint="default" w:ascii="Times New Roman" w:hAnsi="Times New Roman" w:eastAsia="仿宋_GB2312" w:cs="Times New Roman"/>
          <w:b/>
          <w:bCs/>
          <w:spacing w:val="7"/>
          <w:sz w:val="31"/>
          <w:szCs w:val="31"/>
        </w:rPr>
      </w:pPr>
    </w:p>
    <w:p w14:paraId="11B0AB4C">
      <w:pPr>
        <w:spacing w:before="101" w:line="224" w:lineRule="auto"/>
        <w:ind w:left="672"/>
        <w:rPr>
          <w:rFonts w:hint="default" w:ascii="Times New Roman" w:hAnsi="Times New Roman" w:eastAsia="仿宋_GB2312" w:cs="Times New Roman"/>
          <w:b/>
          <w:bCs/>
          <w:spacing w:val="7"/>
          <w:sz w:val="31"/>
          <w:szCs w:val="31"/>
        </w:rPr>
      </w:pPr>
    </w:p>
    <w:p w14:paraId="39095F96">
      <w:pPr>
        <w:spacing w:before="101" w:line="224" w:lineRule="auto"/>
        <w:ind w:left="672"/>
        <w:rPr>
          <w:rFonts w:hint="default" w:ascii="Times New Roman" w:hAnsi="Times New Roman" w:eastAsia="仿宋_GB2312" w:cs="Times New Roman"/>
          <w:b/>
          <w:bCs/>
          <w:sz w:val="31"/>
          <w:szCs w:val="31"/>
        </w:rPr>
      </w:pPr>
      <w:r>
        <w:rPr>
          <w:rFonts w:hint="default" w:ascii="Times New Roman" w:hAnsi="Times New Roman" w:eastAsia="仿宋_GB2312" w:cs="Times New Roman"/>
          <w:b/>
          <w:bCs/>
          <w:spacing w:val="7"/>
          <w:sz w:val="31"/>
          <w:szCs w:val="31"/>
        </w:rPr>
        <w:t>二、收入决算表</w:t>
      </w:r>
    </w:p>
    <w:p w14:paraId="6903BCF0">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drawing>
          <wp:inline distT="0" distB="0" distL="114300" distR="114300">
            <wp:extent cx="5265420" cy="3450590"/>
            <wp:effectExtent l="0" t="0" r="11430" b="16510"/>
            <wp:docPr id="16" name="图片 16" descr="2收入决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2收入决算表"/>
                    <pic:cNvPicPr>
                      <a:picLocks noChangeAspect="1"/>
                    </pic:cNvPicPr>
                  </pic:nvPicPr>
                  <pic:blipFill>
                    <a:blip r:embed="rId8"/>
                    <a:stretch>
                      <a:fillRect/>
                    </a:stretch>
                  </pic:blipFill>
                  <pic:spPr>
                    <a:xfrm>
                      <a:off x="0" y="0"/>
                      <a:ext cx="5265420" cy="3450590"/>
                    </a:xfrm>
                    <a:prstGeom prst="rect">
                      <a:avLst/>
                    </a:prstGeom>
                  </pic:spPr>
                </pic:pic>
              </a:graphicData>
            </a:graphic>
          </wp:inline>
        </w:drawing>
      </w:r>
    </w:p>
    <w:p w14:paraId="33099996">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仿宋_GB2312" w:hAnsi="仿宋_GB2312" w:eastAsia="仿宋_GB2312" w:cs="仿宋_GB2312"/>
          <w:sz w:val="32"/>
          <w:szCs w:val="32"/>
        </w:rPr>
      </w:pPr>
    </w:p>
    <w:p w14:paraId="279B443C">
      <w:pPr>
        <w:spacing w:before="101" w:line="224" w:lineRule="auto"/>
        <w:ind w:left="674"/>
        <w:rPr>
          <w:rFonts w:hint="default" w:ascii="Times New Roman" w:hAnsi="Times New Roman" w:eastAsia="仿宋_GB2312" w:cs="Times New Roman"/>
          <w:b/>
          <w:bCs/>
          <w:sz w:val="31"/>
          <w:szCs w:val="31"/>
        </w:rPr>
      </w:pPr>
      <w:r>
        <w:rPr>
          <w:rFonts w:hint="default" w:ascii="Times New Roman" w:hAnsi="Times New Roman" w:eastAsia="仿宋_GB2312" w:cs="Times New Roman"/>
          <w:b/>
          <w:bCs/>
          <w:spacing w:val="7"/>
          <w:sz w:val="31"/>
          <w:szCs w:val="31"/>
        </w:rPr>
        <w:t>三、支出决算表</w:t>
      </w:r>
    </w:p>
    <w:p w14:paraId="29730110">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sz w:val="31"/>
          <w:szCs w:val="31"/>
          <w:lang w:eastAsia="zh-CN"/>
        </w:rPr>
      </w:pPr>
      <w:r>
        <w:rPr>
          <w:rFonts w:hint="eastAsia" w:ascii="Times New Roman" w:hAnsi="Times New Roman" w:eastAsia="仿宋_GB2312" w:cs="Times New Roman"/>
          <w:sz w:val="31"/>
          <w:szCs w:val="31"/>
          <w:lang w:eastAsia="zh-CN"/>
        </w:rPr>
        <w:drawing>
          <wp:inline distT="0" distB="0" distL="114300" distR="114300">
            <wp:extent cx="5270500" cy="3450590"/>
            <wp:effectExtent l="0" t="0" r="6350" b="16510"/>
            <wp:docPr id="17" name="图片 17" descr="3支出决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3支出决算表"/>
                    <pic:cNvPicPr>
                      <a:picLocks noChangeAspect="1"/>
                    </pic:cNvPicPr>
                  </pic:nvPicPr>
                  <pic:blipFill>
                    <a:blip r:embed="rId9"/>
                    <a:stretch>
                      <a:fillRect/>
                    </a:stretch>
                  </pic:blipFill>
                  <pic:spPr>
                    <a:xfrm>
                      <a:off x="0" y="0"/>
                      <a:ext cx="5270500" cy="3450590"/>
                    </a:xfrm>
                    <a:prstGeom prst="rect">
                      <a:avLst/>
                    </a:prstGeom>
                  </pic:spPr>
                </pic:pic>
              </a:graphicData>
            </a:graphic>
          </wp:inline>
        </w:drawing>
      </w:r>
    </w:p>
    <w:p w14:paraId="0836A4DC">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sz w:val="31"/>
          <w:szCs w:val="31"/>
          <w:lang w:eastAsia="zh-CN"/>
        </w:rPr>
      </w:pPr>
    </w:p>
    <w:p w14:paraId="0BD42659">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sz w:val="31"/>
          <w:szCs w:val="31"/>
          <w:lang w:eastAsia="zh-CN"/>
        </w:rPr>
      </w:pPr>
    </w:p>
    <w:p w14:paraId="745B7AEC">
      <w:pPr>
        <w:spacing w:before="101" w:line="224" w:lineRule="auto"/>
        <w:ind w:left="686"/>
        <w:rPr>
          <w:rFonts w:hint="default" w:ascii="Times New Roman" w:hAnsi="Times New Roman" w:eastAsia="仿宋_GB2312" w:cs="Times New Roman"/>
          <w:b/>
          <w:bCs/>
          <w:sz w:val="31"/>
          <w:szCs w:val="31"/>
        </w:rPr>
      </w:pPr>
      <w:r>
        <w:rPr>
          <w:rFonts w:hint="default" w:ascii="Times New Roman" w:hAnsi="Times New Roman" w:eastAsia="仿宋_GB2312" w:cs="Times New Roman"/>
          <w:b/>
          <w:bCs/>
          <w:spacing w:val="7"/>
          <w:sz w:val="31"/>
          <w:szCs w:val="31"/>
        </w:rPr>
        <w:t>四、财政拨款收入支出决算总表</w:t>
      </w:r>
    </w:p>
    <w:p w14:paraId="7DD48281">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drawing>
          <wp:inline distT="0" distB="0" distL="114300" distR="114300">
            <wp:extent cx="5264785" cy="3014980"/>
            <wp:effectExtent l="0" t="0" r="12065" b="13970"/>
            <wp:docPr id="18" name="图片 18" descr="4财政拨款收入支出决算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4财政拨款收入支出决算总表"/>
                    <pic:cNvPicPr>
                      <a:picLocks noChangeAspect="1"/>
                    </pic:cNvPicPr>
                  </pic:nvPicPr>
                  <pic:blipFill>
                    <a:blip r:embed="rId10"/>
                    <a:stretch>
                      <a:fillRect/>
                    </a:stretch>
                  </pic:blipFill>
                  <pic:spPr>
                    <a:xfrm>
                      <a:off x="0" y="0"/>
                      <a:ext cx="5264785" cy="3014980"/>
                    </a:xfrm>
                    <a:prstGeom prst="rect">
                      <a:avLst/>
                    </a:prstGeom>
                  </pic:spPr>
                </pic:pic>
              </a:graphicData>
            </a:graphic>
          </wp:inline>
        </w:drawing>
      </w:r>
    </w:p>
    <w:p w14:paraId="0BD7BFE2">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4132FF93">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76DE57B9">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56F024D6">
      <w:pPr>
        <w:numPr>
          <w:ilvl w:val="0"/>
          <w:numId w:val="0"/>
        </w:numPr>
        <w:spacing w:before="100" w:line="224" w:lineRule="auto"/>
        <w:ind w:left="676" w:leftChars="0"/>
        <w:jc w:val="both"/>
        <w:rPr>
          <w:rFonts w:hint="default" w:ascii="Times New Roman" w:hAnsi="Times New Roman" w:eastAsia="仿宋_GB2312" w:cs="Times New Roman"/>
          <w:b/>
          <w:bCs/>
          <w:spacing w:val="8"/>
          <w:sz w:val="31"/>
          <w:szCs w:val="31"/>
        </w:rPr>
      </w:pPr>
      <w:r>
        <w:rPr>
          <w:rFonts w:hint="eastAsia" w:ascii="Times New Roman" w:hAnsi="Times New Roman" w:eastAsia="仿宋_GB2312" w:cs="Times New Roman"/>
          <w:b/>
          <w:bCs/>
          <w:snapToGrid w:val="0"/>
          <w:color w:val="000000"/>
          <w:spacing w:val="8"/>
          <w:kern w:val="0"/>
          <w:sz w:val="31"/>
          <w:szCs w:val="31"/>
          <w:lang w:val="en-US" w:eastAsia="en-US" w:bidi="ar-SA"/>
        </w:rPr>
        <w:t>五、</w:t>
      </w:r>
      <w:r>
        <w:rPr>
          <w:rFonts w:hint="default" w:ascii="Times New Roman" w:hAnsi="Times New Roman" w:eastAsia="仿宋_GB2312" w:cs="Times New Roman"/>
          <w:b/>
          <w:bCs/>
          <w:spacing w:val="8"/>
          <w:sz w:val="31"/>
          <w:szCs w:val="31"/>
        </w:rPr>
        <w:t>一般公共预算财政拨款支出</w:t>
      </w:r>
    </w:p>
    <w:p w14:paraId="6C71B26C">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b/>
          <w:bCs/>
          <w:spacing w:val="8"/>
          <w:sz w:val="31"/>
          <w:szCs w:val="31"/>
          <w:lang w:eastAsia="zh-CN"/>
        </w:rPr>
      </w:pPr>
      <w:r>
        <w:rPr>
          <w:rFonts w:hint="eastAsia" w:ascii="Times New Roman" w:hAnsi="Times New Roman" w:eastAsia="仿宋_GB2312" w:cs="Times New Roman"/>
          <w:b/>
          <w:bCs/>
          <w:spacing w:val="8"/>
          <w:sz w:val="31"/>
          <w:szCs w:val="31"/>
          <w:lang w:eastAsia="zh-CN"/>
        </w:rPr>
        <w:drawing>
          <wp:inline distT="0" distB="0" distL="114300" distR="114300">
            <wp:extent cx="5267325" cy="4046855"/>
            <wp:effectExtent l="0" t="0" r="9525" b="10795"/>
            <wp:docPr id="19" name="图片 19" descr="5一般公共预算财政拨款支出决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5一般公共预算财政拨款支出决算表"/>
                    <pic:cNvPicPr>
                      <a:picLocks noChangeAspect="1"/>
                    </pic:cNvPicPr>
                  </pic:nvPicPr>
                  <pic:blipFill>
                    <a:blip r:embed="rId11"/>
                    <a:stretch>
                      <a:fillRect/>
                    </a:stretch>
                  </pic:blipFill>
                  <pic:spPr>
                    <a:xfrm>
                      <a:off x="0" y="0"/>
                      <a:ext cx="5267325" cy="4046855"/>
                    </a:xfrm>
                    <a:prstGeom prst="rect">
                      <a:avLst/>
                    </a:prstGeom>
                  </pic:spPr>
                </pic:pic>
              </a:graphicData>
            </a:graphic>
          </wp:inline>
        </w:drawing>
      </w:r>
    </w:p>
    <w:p w14:paraId="66981821">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default" w:ascii="Times New Roman" w:hAnsi="Times New Roman" w:eastAsia="仿宋_GB2312" w:cs="Times New Roman"/>
          <w:b/>
          <w:bCs/>
          <w:spacing w:val="8"/>
          <w:sz w:val="31"/>
          <w:szCs w:val="31"/>
        </w:rPr>
      </w:pPr>
    </w:p>
    <w:p w14:paraId="2263668D">
      <w:pPr>
        <w:numPr>
          <w:ilvl w:val="0"/>
          <w:numId w:val="0"/>
        </w:numPr>
        <w:spacing w:before="100" w:line="224" w:lineRule="auto"/>
        <w:ind w:left="676" w:leftChars="0" w:firstLine="0" w:firstLineChars="0"/>
        <w:rPr>
          <w:rFonts w:hint="default" w:ascii="Times New Roman" w:hAnsi="Times New Roman" w:eastAsia="仿宋_GB2312" w:cs="Times New Roman"/>
          <w:b/>
          <w:bCs/>
          <w:spacing w:val="8"/>
          <w:sz w:val="31"/>
          <w:szCs w:val="31"/>
        </w:rPr>
      </w:pPr>
      <w:r>
        <w:rPr>
          <w:rFonts w:hint="eastAsia" w:ascii="Times New Roman" w:hAnsi="Times New Roman" w:eastAsia="仿宋_GB2312" w:cs="Times New Roman"/>
          <w:b/>
          <w:bCs/>
          <w:snapToGrid w:val="0"/>
          <w:color w:val="000000"/>
          <w:spacing w:val="8"/>
          <w:kern w:val="0"/>
          <w:sz w:val="31"/>
          <w:szCs w:val="31"/>
          <w:lang w:val="en-US" w:eastAsia="en-US" w:bidi="ar-SA"/>
        </w:rPr>
        <w:t>六、</w:t>
      </w:r>
      <w:r>
        <w:rPr>
          <w:rFonts w:hint="default" w:ascii="Times New Roman" w:hAnsi="Times New Roman" w:eastAsia="仿宋_GB2312" w:cs="Times New Roman"/>
          <w:b/>
          <w:bCs/>
          <w:spacing w:val="8"/>
          <w:sz w:val="31"/>
          <w:szCs w:val="31"/>
        </w:rPr>
        <w:t>一般公共预算财政拨款基本支出决算明细表</w:t>
      </w:r>
    </w:p>
    <w:p w14:paraId="20826C8F">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drawing>
          <wp:inline distT="0" distB="0" distL="114300" distR="114300">
            <wp:extent cx="5273675" cy="2974975"/>
            <wp:effectExtent l="0" t="0" r="3175" b="15875"/>
            <wp:docPr id="20" name="图片 20" descr="6一般公共预算基本支出决算明细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6一般公共预算基本支出决算明细表"/>
                    <pic:cNvPicPr>
                      <a:picLocks noChangeAspect="1"/>
                    </pic:cNvPicPr>
                  </pic:nvPicPr>
                  <pic:blipFill>
                    <a:blip r:embed="rId12"/>
                    <a:stretch>
                      <a:fillRect/>
                    </a:stretch>
                  </pic:blipFill>
                  <pic:spPr>
                    <a:xfrm>
                      <a:off x="0" y="0"/>
                      <a:ext cx="5273675" cy="2974975"/>
                    </a:xfrm>
                    <a:prstGeom prst="rect">
                      <a:avLst/>
                    </a:prstGeom>
                  </pic:spPr>
                </pic:pic>
              </a:graphicData>
            </a:graphic>
          </wp:inline>
        </w:drawing>
      </w:r>
    </w:p>
    <w:p w14:paraId="730DC01A">
      <w:pPr>
        <w:numPr>
          <w:ilvl w:val="0"/>
          <w:numId w:val="0"/>
        </w:numPr>
        <w:spacing w:before="101" w:line="224" w:lineRule="auto"/>
        <w:ind w:left="676" w:leftChars="0" w:firstLine="0" w:firstLineChars="0"/>
        <w:rPr>
          <w:rFonts w:hint="eastAsia" w:ascii="Times New Roman" w:hAnsi="Times New Roman" w:eastAsia="仿宋_GB2312" w:cs="Times New Roman"/>
          <w:b/>
          <w:bCs/>
          <w:snapToGrid w:val="0"/>
          <w:color w:val="000000"/>
          <w:spacing w:val="8"/>
          <w:kern w:val="0"/>
          <w:sz w:val="31"/>
          <w:szCs w:val="31"/>
          <w:lang w:val="en-US" w:eastAsia="en-US" w:bidi="ar-SA"/>
        </w:rPr>
      </w:pPr>
    </w:p>
    <w:p w14:paraId="0C4429BB">
      <w:pPr>
        <w:numPr>
          <w:ilvl w:val="0"/>
          <w:numId w:val="0"/>
        </w:numPr>
        <w:spacing w:before="101" w:line="224" w:lineRule="auto"/>
        <w:ind w:left="676" w:leftChars="0" w:firstLine="0" w:firstLineChars="0"/>
        <w:rPr>
          <w:rFonts w:hint="eastAsia" w:ascii="Times New Roman" w:hAnsi="Times New Roman" w:eastAsia="仿宋_GB2312" w:cs="Times New Roman"/>
          <w:b/>
          <w:bCs/>
          <w:snapToGrid w:val="0"/>
          <w:color w:val="000000"/>
          <w:spacing w:val="8"/>
          <w:kern w:val="0"/>
          <w:sz w:val="31"/>
          <w:szCs w:val="31"/>
          <w:lang w:val="en-US" w:eastAsia="en-US" w:bidi="ar-SA"/>
        </w:rPr>
      </w:pPr>
    </w:p>
    <w:p w14:paraId="32CFD13E">
      <w:pPr>
        <w:numPr>
          <w:ilvl w:val="0"/>
          <w:numId w:val="0"/>
        </w:numPr>
        <w:spacing w:before="101" w:line="224" w:lineRule="auto"/>
        <w:ind w:left="676" w:leftChars="0" w:firstLine="0" w:firstLineChars="0"/>
        <w:rPr>
          <w:rFonts w:hint="default" w:ascii="Times New Roman" w:hAnsi="Times New Roman" w:eastAsia="仿宋_GB2312" w:cs="Times New Roman"/>
          <w:b/>
          <w:bCs/>
          <w:spacing w:val="8"/>
          <w:sz w:val="31"/>
          <w:szCs w:val="31"/>
        </w:rPr>
      </w:pPr>
      <w:r>
        <w:rPr>
          <w:rFonts w:hint="eastAsia" w:ascii="Times New Roman" w:hAnsi="Times New Roman" w:eastAsia="仿宋_GB2312" w:cs="Times New Roman"/>
          <w:b/>
          <w:bCs/>
          <w:snapToGrid w:val="0"/>
          <w:color w:val="000000"/>
          <w:spacing w:val="8"/>
          <w:kern w:val="0"/>
          <w:sz w:val="31"/>
          <w:szCs w:val="31"/>
          <w:lang w:val="en-US" w:eastAsia="en-US" w:bidi="ar-SA"/>
        </w:rPr>
        <w:t>七、</w:t>
      </w:r>
      <w:r>
        <w:rPr>
          <w:rFonts w:hint="default" w:ascii="Times New Roman" w:hAnsi="Times New Roman" w:eastAsia="仿宋_GB2312" w:cs="Times New Roman"/>
          <w:b/>
          <w:bCs/>
          <w:spacing w:val="8"/>
          <w:sz w:val="31"/>
          <w:szCs w:val="31"/>
        </w:rPr>
        <w:t>政府性基金预算财政拨款收入支出决算表</w:t>
      </w:r>
    </w:p>
    <w:p w14:paraId="4A9CEA06">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drawing>
          <wp:inline distT="0" distB="0" distL="114300" distR="114300">
            <wp:extent cx="5293360" cy="2606040"/>
            <wp:effectExtent l="0" t="0" r="2540" b="3810"/>
            <wp:docPr id="7" name="图片 7" descr="7政府性基金收入支出决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7政府性基金收入支出决算表"/>
                    <pic:cNvPicPr>
                      <a:picLocks noChangeAspect="1"/>
                    </pic:cNvPicPr>
                  </pic:nvPicPr>
                  <pic:blipFill>
                    <a:blip r:embed="rId13"/>
                    <a:stretch>
                      <a:fillRect/>
                    </a:stretch>
                  </pic:blipFill>
                  <pic:spPr>
                    <a:xfrm>
                      <a:off x="0" y="0"/>
                      <a:ext cx="5293360" cy="2606040"/>
                    </a:xfrm>
                    <a:prstGeom prst="rect">
                      <a:avLst/>
                    </a:prstGeom>
                  </pic:spPr>
                </pic:pic>
              </a:graphicData>
            </a:graphic>
          </wp:inline>
        </w:drawing>
      </w:r>
    </w:p>
    <w:p w14:paraId="4841A9EC">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宋体" w:hAnsi="宋体" w:eastAsia="宋体" w:cs="宋体"/>
          <w:color w:val="auto"/>
          <w:spacing w:val="4"/>
          <w:sz w:val="44"/>
          <w:szCs w:val="44"/>
          <w:lang w:eastAsia="zh-CN"/>
        </w:rPr>
      </w:pPr>
      <w:r>
        <w:rPr>
          <w:rFonts w:hint="eastAsia" w:asciiTheme="minorEastAsia" w:hAnsiTheme="minorEastAsia" w:eastAsiaTheme="minorEastAsia" w:cstheme="minorEastAsia"/>
          <w:color w:val="auto"/>
          <w:spacing w:val="5"/>
          <w:sz w:val="44"/>
          <w:szCs w:val="44"/>
          <w:lang w:val="en-US" w:eastAsia="zh-CN"/>
        </w:rPr>
        <w:t>注：</w:t>
      </w:r>
      <w:r>
        <w:rPr>
          <w:rFonts w:hint="eastAsia" w:ascii="宋体" w:hAnsi="宋体" w:eastAsia="宋体" w:cs="宋体"/>
          <w:color w:val="auto"/>
          <w:spacing w:val="7"/>
          <w:sz w:val="44"/>
          <w:szCs w:val="44"/>
        </w:rPr>
        <w:t>本单位没有政府性基金预</w:t>
      </w:r>
      <w:r>
        <w:rPr>
          <w:rFonts w:hint="eastAsia" w:ascii="宋体" w:hAnsi="宋体" w:eastAsia="宋体" w:cs="宋体"/>
          <w:color w:val="auto"/>
          <w:spacing w:val="6"/>
          <w:sz w:val="44"/>
          <w:szCs w:val="44"/>
        </w:rPr>
        <w:t>算财</w:t>
      </w:r>
      <w:r>
        <w:rPr>
          <w:rFonts w:hint="eastAsia" w:ascii="宋体" w:hAnsi="宋体" w:eastAsia="宋体" w:cs="宋体"/>
          <w:color w:val="auto"/>
          <w:spacing w:val="4"/>
          <w:sz w:val="44"/>
          <w:szCs w:val="44"/>
        </w:rPr>
        <w:t>政拨款</w:t>
      </w:r>
      <w:r>
        <w:rPr>
          <w:rFonts w:hint="eastAsia" w:ascii="宋体" w:hAnsi="宋体" w:eastAsia="宋体" w:cs="宋体"/>
          <w:color w:val="auto"/>
          <w:spacing w:val="4"/>
          <w:sz w:val="44"/>
          <w:szCs w:val="44"/>
          <w:lang w:eastAsia="zh-CN"/>
        </w:rPr>
        <w:t>。</w:t>
      </w:r>
    </w:p>
    <w:p w14:paraId="21484CEE">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宋体" w:hAnsi="宋体" w:eastAsia="宋体" w:cs="宋体"/>
          <w:color w:val="auto"/>
          <w:spacing w:val="4"/>
          <w:sz w:val="44"/>
          <w:szCs w:val="44"/>
          <w:lang w:eastAsia="zh-CN"/>
        </w:rPr>
      </w:pPr>
    </w:p>
    <w:p w14:paraId="0098F378">
      <w:pPr>
        <w:numPr>
          <w:ilvl w:val="0"/>
          <w:numId w:val="0"/>
        </w:numPr>
        <w:spacing w:before="101" w:line="224" w:lineRule="auto"/>
        <w:ind w:left="676" w:leftChars="0" w:firstLine="0" w:firstLineChars="0"/>
        <w:rPr>
          <w:rFonts w:hint="default" w:ascii="Times New Roman" w:hAnsi="Times New Roman" w:eastAsia="仿宋_GB2312" w:cs="Times New Roman"/>
          <w:b/>
          <w:bCs/>
          <w:spacing w:val="8"/>
          <w:sz w:val="31"/>
          <w:szCs w:val="31"/>
        </w:rPr>
      </w:pPr>
      <w:r>
        <w:rPr>
          <w:rFonts w:hint="eastAsia" w:ascii="Times New Roman" w:hAnsi="Times New Roman" w:eastAsia="仿宋_GB2312" w:cs="Times New Roman"/>
          <w:b/>
          <w:bCs/>
          <w:snapToGrid w:val="0"/>
          <w:color w:val="000000"/>
          <w:spacing w:val="8"/>
          <w:kern w:val="0"/>
          <w:sz w:val="31"/>
          <w:szCs w:val="31"/>
          <w:lang w:val="en-US" w:eastAsia="en-US" w:bidi="ar-SA"/>
        </w:rPr>
        <w:t>八、</w:t>
      </w:r>
      <w:r>
        <w:rPr>
          <w:rFonts w:hint="default" w:ascii="Times New Roman" w:hAnsi="Times New Roman" w:eastAsia="仿宋_GB2312" w:cs="Times New Roman"/>
          <w:b/>
          <w:bCs/>
          <w:spacing w:val="8"/>
          <w:sz w:val="31"/>
          <w:szCs w:val="31"/>
        </w:rPr>
        <w:t>国有资本经营预算财政拨款支出决算表</w:t>
      </w:r>
    </w:p>
    <w:p w14:paraId="6206F4BE">
      <w:pPr>
        <w:numPr>
          <w:ilvl w:val="0"/>
          <w:numId w:val="0"/>
        </w:numPr>
        <w:spacing w:before="101" w:line="224" w:lineRule="auto"/>
        <w:ind w:left="676" w:leftChars="0" w:firstLine="0" w:firstLineChars="0"/>
        <w:rPr>
          <w:rFonts w:hint="default" w:ascii="Times New Roman" w:hAnsi="Times New Roman" w:eastAsia="仿宋_GB2312" w:cs="Times New Roman"/>
          <w:b/>
          <w:bCs/>
          <w:spacing w:val="8"/>
          <w:sz w:val="31"/>
          <w:szCs w:val="31"/>
        </w:rPr>
      </w:pPr>
    </w:p>
    <w:p w14:paraId="3D00CD6B">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drawing>
          <wp:inline distT="0" distB="0" distL="114300" distR="114300">
            <wp:extent cx="5293995" cy="2603500"/>
            <wp:effectExtent l="0" t="0" r="1905" b="6350"/>
            <wp:docPr id="8" name="图片 8" descr="8国有资本经营支出决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8国有资本经营支出决算表"/>
                    <pic:cNvPicPr>
                      <a:picLocks noChangeAspect="1"/>
                    </pic:cNvPicPr>
                  </pic:nvPicPr>
                  <pic:blipFill>
                    <a:blip r:embed="rId14"/>
                    <a:stretch>
                      <a:fillRect/>
                    </a:stretch>
                  </pic:blipFill>
                  <pic:spPr>
                    <a:xfrm>
                      <a:off x="0" y="0"/>
                      <a:ext cx="5293995" cy="2603500"/>
                    </a:xfrm>
                    <a:prstGeom prst="rect">
                      <a:avLst/>
                    </a:prstGeom>
                  </pic:spPr>
                </pic:pic>
              </a:graphicData>
            </a:graphic>
          </wp:inline>
        </w:drawing>
      </w:r>
    </w:p>
    <w:p w14:paraId="392DFCB9">
      <w:pPr>
        <w:spacing w:before="101" w:line="364" w:lineRule="auto"/>
        <w:ind w:right="13"/>
        <w:jc w:val="both"/>
        <w:rPr>
          <w:rFonts w:hint="eastAsia" w:ascii="宋体" w:hAnsi="宋体" w:eastAsia="宋体" w:cs="宋体"/>
          <w:color w:val="auto"/>
          <w:sz w:val="36"/>
          <w:szCs w:val="36"/>
        </w:rPr>
      </w:pPr>
      <w:r>
        <w:rPr>
          <w:rFonts w:hint="eastAsia" w:asciiTheme="minorEastAsia" w:hAnsiTheme="minorEastAsia" w:eastAsiaTheme="minorEastAsia" w:cstheme="minorEastAsia"/>
          <w:color w:val="auto"/>
          <w:spacing w:val="5"/>
          <w:sz w:val="36"/>
          <w:szCs w:val="36"/>
          <w:lang w:val="en-US" w:eastAsia="zh-CN"/>
        </w:rPr>
        <w:t>注：</w:t>
      </w:r>
      <w:r>
        <w:rPr>
          <w:rFonts w:hint="eastAsia" w:ascii="宋体" w:hAnsi="宋体" w:eastAsia="宋体" w:cs="宋体"/>
          <w:color w:val="auto"/>
          <w:spacing w:val="7"/>
          <w:sz w:val="36"/>
          <w:szCs w:val="36"/>
        </w:rPr>
        <w:t>本单位没有国有资本经营预</w:t>
      </w:r>
      <w:r>
        <w:rPr>
          <w:rFonts w:hint="eastAsia" w:ascii="宋体" w:hAnsi="宋体" w:eastAsia="宋体" w:cs="宋体"/>
          <w:color w:val="auto"/>
          <w:sz w:val="36"/>
          <w:szCs w:val="36"/>
        </w:rPr>
        <w:t>算财政拨款。</w:t>
      </w:r>
    </w:p>
    <w:p w14:paraId="681DF415">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326602D3">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503BB1BB">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386474DC">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4A58A0B4">
      <w:pPr>
        <w:spacing w:before="101" w:line="224" w:lineRule="auto"/>
        <w:ind w:left="675"/>
        <w:rPr>
          <w:rFonts w:hint="default" w:ascii="Times New Roman" w:hAnsi="Times New Roman" w:eastAsia="仿宋_GB2312" w:cs="Times New Roman"/>
          <w:b/>
          <w:bCs/>
          <w:sz w:val="31"/>
          <w:szCs w:val="31"/>
        </w:rPr>
      </w:pPr>
      <w:r>
        <w:rPr>
          <w:rFonts w:hint="default" w:ascii="Times New Roman" w:hAnsi="Times New Roman" w:eastAsia="仿宋_GB2312" w:cs="Times New Roman"/>
          <w:b/>
          <w:bCs/>
          <w:spacing w:val="8"/>
          <w:sz w:val="31"/>
          <w:szCs w:val="31"/>
        </w:rPr>
        <w:t>九、财政拨款“三公”经费支出决算表</w:t>
      </w:r>
    </w:p>
    <w:p w14:paraId="458C48CE">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drawing>
          <wp:inline distT="0" distB="0" distL="114300" distR="114300">
            <wp:extent cx="5285740" cy="1949450"/>
            <wp:effectExtent l="0" t="0" r="10160" b="12700"/>
            <wp:docPr id="9" name="图片 9" descr="9三公经费支出决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9三公经费支出决算表"/>
                    <pic:cNvPicPr>
                      <a:picLocks noChangeAspect="1"/>
                    </pic:cNvPicPr>
                  </pic:nvPicPr>
                  <pic:blipFill>
                    <a:blip r:embed="rId15"/>
                    <a:stretch>
                      <a:fillRect/>
                    </a:stretch>
                  </pic:blipFill>
                  <pic:spPr>
                    <a:xfrm>
                      <a:off x="0" y="0"/>
                      <a:ext cx="5285740" cy="1949450"/>
                    </a:xfrm>
                    <a:prstGeom prst="rect">
                      <a:avLst/>
                    </a:prstGeom>
                  </pic:spPr>
                </pic:pic>
              </a:graphicData>
            </a:graphic>
          </wp:inline>
        </w:drawing>
      </w:r>
    </w:p>
    <w:p w14:paraId="2FE7D289">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5120A66F">
      <w:pPr>
        <w:pStyle w:val="2"/>
        <w:spacing w:line="339" w:lineRule="auto"/>
        <w:rPr>
          <w:rFonts w:hint="eastAsia" w:asciiTheme="minorEastAsia" w:hAnsiTheme="minorEastAsia" w:eastAsiaTheme="minorEastAsia" w:cstheme="minorEastAsia"/>
          <w:color w:val="auto"/>
          <w:spacing w:val="44"/>
          <w:sz w:val="32"/>
          <w:szCs w:val="32"/>
        </w:rPr>
      </w:pPr>
      <w:r>
        <w:rPr>
          <w:rFonts w:hint="eastAsia" w:asciiTheme="minorEastAsia" w:hAnsiTheme="minorEastAsia" w:eastAsiaTheme="minorEastAsia" w:cstheme="minorEastAsia"/>
          <w:color w:val="auto"/>
          <w:spacing w:val="5"/>
          <w:sz w:val="32"/>
          <w:szCs w:val="32"/>
          <w:lang w:val="en-US" w:eastAsia="zh-CN"/>
        </w:rPr>
        <w:t>注：</w:t>
      </w:r>
      <w:r>
        <w:rPr>
          <w:rFonts w:hint="eastAsia" w:asciiTheme="minorEastAsia" w:hAnsiTheme="minorEastAsia" w:eastAsiaTheme="minorEastAsia" w:cstheme="minorEastAsia"/>
          <w:color w:val="auto"/>
          <w:spacing w:val="5"/>
          <w:sz w:val="32"/>
          <w:szCs w:val="32"/>
        </w:rPr>
        <w:t>本单位没有财政拨款</w:t>
      </w:r>
      <w:r>
        <w:rPr>
          <w:rFonts w:hint="eastAsia" w:asciiTheme="minorEastAsia" w:hAnsiTheme="minorEastAsia" w:eastAsiaTheme="minorEastAsia" w:cstheme="minorEastAsia"/>
          <w:color w:val="auto"/>
          <w:spacing w:val="-93"/>
          <w:sz w:val="32"/>
          <w:szCs w:val="32"/>
        </w:rPr>
        <w:t xml:space="preserve"> </w:t>
      </w:r>
      <w:r>
        <w:rPr>
          <w:rFonts w:hint="eastAsia" w:asciiTheme="minorEastAsia" w:hAnsiTheme="minorEastAsia" w:eastAsiaTheme="minorEastAsia" w:cstheme="minorEastAsia"/>
          <w:color w:val="auto"/>
          <w:spacing w:val="5"/>
          <w:sz w:val="32"/>
          <w:szCs w:val="32"/>
        </w:rPr>
        <w:t>“</w:t>
      </w:r>
      <w:r>
        <w:rPr>
          <w:rFonts w:hint="eastAsia" w:asciiTheme="minorEastAsia" w:hAnsiTheme="minorEastAsia" w:eastAsiaTheme="minorEastAsia" w:cstheme="minorEastAsia"/>
          <w:color w:val="auto"/>
          <w:spacing w:val="-119"/>
          <w:sz w:val="32"/>
          <w:szCs w:val="32"/>
        </w:rPr>
        <w:t xml:space="preserve"> </w:t>
      </w:r>
      <w:r>
        <w:rPr>
          <w:rFonts w:hint="eastAsia" w:asciiTheme="minorEastAsia" w:hAnsiTheme="minorEastAsia" w:eastAsiaTheme="minorEastAsia" w:cstheme="minorEastAsia"/>
          <w:color w:val="auto"/>
          <w:spacing w:val="5"/>
          <w:sz w:val="32"/>
          <w:szCs w:val="32"/>
        </w:rPr>
        <w:t>三公”经费</w:t>
      </w:r>
      <w:r>
        <w:rPr>
          <w:rFonts w:hint="eastAsia" w:asciiTheme="minorEastAsia" w:hAnsiTheme="minorEastAsia" w:eastAsiaTheme="minorEastAsia" w:cstheme="minorEastAsia"/>
          <w:color w:val="auto"/>
          <w:spacing w:val="44"/>
          <w:sz w:val="32"/>
          <w:szCs w:val="32"/>
        </w:rPr>
        <w:t>支出。</w:t>
      </w:r>
    </w:p>
    <w:p w14:paraId="2D28D9A1">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2DFEE344">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3FFF43B1">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65AAF085">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43E1ADEA">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28646424">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15E8D730">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78502A3F">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082D6105">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02BFA916">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28F5ECA5">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7C056D09">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228FD226">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3C12BFBB">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0116A16C">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5C6FC5AA">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5AF3583B">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1B03F6E4">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51FB861F">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0BF45416">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6EB5EF97">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7A2A9857">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0CB8FB1C">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727E1D2B">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66520556">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06A19619">
      <w:pPr>
        <w:numPr>
          <w:ilvl w:val="0"/>
          <w:numId w:val="0"/>
        </w:numPr>
        <w:spacing w:before="100" w:line="224" w:lineRule="auto"/>
        <w:ind w:left="30" w:leftChars="0" w:firstLine="654" w:firstLineChars="200"/>
        <w:rPr>
          <w:rFonts w:hint="eastAsia" w:ascii="Times New Roman" w:hAnsi="Times New Roman" w:eastAsia="仿宋_GB2312" w:cs="Times New Roman"/>
          <w:b/>
          <w:bCs/>
          <w:snapToGrid w:val="0"/>
          <w:color w:val="000000"/>
          <w:spacing w:val="8"/>
          <w:kern w:val="0"/>
          <w:sz w:val="31"/>
          <w:szCs w:val="31"/>
          <w:lang w:val="en-US" w:eastAsia="en-US" w:bidi="ar-SA"/>
        </w:rPr>
      </w:pPr>
    </w:p>
    <w:p w14:paraId="42B0CBA4">
      <w:pPr>
        <w:numPr>
          <w:ilvl w:val="0"/>
          <w:numId w:val="0"/>
        </w:numPr>
        <w:spacing w:before="100" w:line="224" w:lineRule="auto"/>
        <w:ind w:left="30" w:leftChars="0" w:firstLine="654" w:firstLineChars="200"/>
        <w:rPr>
          <w:rFonts w:hint="eastAsia" w:ascii="Times New Roman" w:hAnsi="Times New Roman" w:eastAsia="仿宋_GB2312" w:cs="Times New Roman"/>
          <w:b/>
          <w:bCs/>
          <w:snapToGrid w:val="0"/>
          <w:color w:val="000000"/>
          <w:spacing w:val="8"/>
          <w:kern w:val="0"/>
          <w:sz w:val="31"/>
          <w:szCs w:val="31"/>
          <w:lang w:val="en-US" w:eastAsia="en-US" w:bidi="ar-SA"/>
        </w:rPr>
      </w:pPr>
    </w:p>
    <w:p w14:paraId="4F6BE1CB">
      <w:pPr>
        <w:numPr>
          <w:ilvl w:val="0"/>
          <w:numId w:val="0"/>
        </w:numPr>
        <w:spacing w:before="100" w:line="224" w:lineRule="auto"/>
        <w:ind w:left="30" w:leftChars="0" w:firstLine="654" w:firstLineChars="200"/>
        <w:rPr>
          <w:rFonts w:hint="default" w:ascii="Times New Roman" w:hAnsi="Times New Roman" w:eastAsia="仿宋_GB2312" w:cs="Times New Roman"/>
          <w:b/>
          <w:bCs/>
          <w:spacing w:val="8"/>
          <w:sz w:val="31"/>
          <w:szCs w:val="31"/>
        </w:rPr>
      </w:pPr>
      <w:r>
        <w:rPr>
          <w:rFonts w:hint="eastAsia" w:ascii="Times New Roman" w:hAnsi="Times New Roman" w:eastAsia="仿宋_GB2312" w:cs="Times New Roman"/>
          <w:b/>
          <w:bCs/>
          <w:snapToGrid w:val="0"/>
          <w:color w:val="000000"/>
          <w:spacing w:val="8"/>
          <w:kern w:val="0"/>
          <w:sz w:val="31"/>
          <w:szCs w:val="31"/>
          <w:lang w:val="en-US" w:eastAsia="en-US" w:bidi="ar-SA"/>
        </w:rPr>
        <w:t>十、</w:t>
      </w:r>
      <w:r>
        <w:rPr>
          <w:rFonts w:hint="default" w:ascii="Times New Roman" w:hAnsi="Times New Roman" w:eastAsia="仿宋_GB2312" w:cs="Times New Roman"/>
          <w:b/>
          <w:bCs/>
          <w:spacing w:val="8"/>
          <w:sz w:val="31"/>
          <w:szCs w:val="31"/>
        </w:rPr>
        <w:t>部门预算项目支出绩效自评表</w:t>
      </w:r>
    </w:p>
    <w:p w14:paraId="0F1AE9E2">
      <w:pPr>
        <w:numPr>
          <w:ilvl w:val="0"/>
          <w:numId w:val="0"/>
        </w:numPr>
        <w:spacing w:before="100" w:line="224" w:lineRule="auto"/>
        <w:rPr>
          <w:rFonts w:hint="eastAsia" w:ascii="Times New Roman" w:hAnsi="Times New Roman" w:eastAsia="仿宋_GB2312" w:cs="Times New Roman"/>
          <w:b/>
          <w:bCs/>
          <w:spacing w:val="8"/>
          <w:sz w:val="31"/>
          <w:szCs w:val="31"/>
          <w:lang w:eastAsia="zh-CN"/>
        </w:rPr>
      </w:pPr>
    </w:p>
    <w:p w14:paraId="5B271DF0">
      <w:pPr>
        <w:numPr>
          <w:ilvl w:val="0"/>
          <w:numId w:val="0"/>
        </w:numPr>
        <w:spacing w:before="100" w:line="224" w:lineRule="auto"/>
        <w:rPr>
          <w:rFonts w:hint="eastAsia" w:ascii="Times New Roman" w:hAnsi="Times New Roman" w:eastAsia="仿宋_GB2312" w:cs="Times New Roman"/>
          <w:b/>
          <w:bCs/>
          <w:spacing w:val="8"/>
          <w:sz w:val="31"/>
          <w:szCs w:val="31"/>
          <w:lang w:eastAsia="zh-CN"/>
        </w:rPr>
      </w:pPr>
      <w:r>
        <w:rPr>
          <w:rFonts w:hint="eastAsia" w:ascii="Times New Roman" w:hAnsi="Times New Roman" w:eastAsia="仿宋_GB2312" w:cs="Times New Roman"/>
          <w:b/>
          <w:bCs/>
          <w:spacing w:val="8"/>
          <w:sz w:val="31"/>
          <w:szCs w:val="31"/>
          <w:lang w:eastAsia="zh-CN"/>
        </w:rPr>
        <w:drawing>
          <wp:inline distT="0" distB="0" distL="114300" distR="114300">
            <wp:extent cx="5274310" cy="7219950"/>
            <wp:effectExtent l="0" t="0" r="2540" b="0"/>
            <wp:docPr id="6" name="图片 6" descr="法律顾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法律顾问"/>
                    <pic:cNvPicPr>
                      <a:picLocks noChangeAspect="1"/>
                    </pic:cNvPicPr>
                  </pic:nvPicPr>
                  <pic:blipFill>
                    <a:blip r:embed="rId16"/>
                    <a:stretch>
                      <a:fillRect/>
                    </a:stretch>
                  </pic:blipFill>
                  <pic:spPr>
                    <a:xfrm>
                      <a:off x="0" y="0"/>
                      <a:ext cx="5274310" cy="7219950"/>
                    </a:xfrm>
                    <a:prstGeom prst="rect">
                      <a:avLst/>
                    </a:prstGeom>
                  </pic:spPr>
                </pic:pic>
              </a:graphicData>
            </a:graphic>
          </wp:inline>
        </w:drawing>
      </w:r>
    </w:p>
    <w:p w14:paraId="6FBE80E3">
      <w:pPr>
        <w:numPr>
          <w:ilvl w:val="0"/>
          <w:numId w:val="0"/>
        </w:numPr>
        <w:spacing w:before="100" w:line="224" w:lineRule="auto"/>
        <w:rPr>
          <w:rFonts w:hint="eastAsia" w:ascii="Times New Roman" w:hAnsi="Times New Roman" w:eastAsia="仿宋_GB2312" w:cs="Times New Roman"/>
          <w:b/>
          <w:bCs/>
          <w:spacing w:val="8"/>
          <w:sz w:val="31"/>
          <w:szCs w:val="31"/>
          <w:lang w:eastAsia="zh-CN"/>
        </w:rPr>
      </w:pPr>
    </w:p>
    <w:p w14:paraId="038DE4BA">
      <w:pPr>
        <w:numPr>
          <w:ilvl w:val="0"/>
          <w:numId w:val="0"/>
        </w:numPr>
        <w:spacing w:before="100" w:line="224" w:lineRule="auto"/>
        <w:rPr>
          <w:rFonts w:hint="eastAsia" w:ascii="Times New Roman" w:hAnsi="Times New Roman" w:eastAsia="仿宋_GB2312" w:cs="Times New Roman"/>
          <w:b/>
          <w:bCs/>
          <w:spacing w:val="8"/>
          <w:sz w:val="31"/>
          <w:szCs w:val="31"/>
          <w:lang w:eastAsia="zh-CN"/>
        </w:rPr>
      </w:pPr>
    </w:p>
    <w:p w14:paraId="3855197F">
      <w:pPr>
        <w:numPr>
          <w:ilvl w:val="0"/>
          <w:numId w:val="0"/>
        </w:numPr>
        <w:spacing w:before="100" w:line="224" w:lineRule="auto"/>
        <w:rPr>
          <w:rFonts w:hint="eastAsia" w:ascii="Times New Roman" w:hAnsi="Times New Roman" w:eastAsia="仿宋_GB2312" w:cs="Times New Roman"/>
          <w:b/>
          <w:bCs/>
          <w:spacing w:val="8"/>
          <w:sz w:val="31"/>
          <w:szCs w:val="31"/>
          <w:lang w:eastAsia="zh-CN"/>
        </w:rPr>
      </w:pPr>
    </w:p>
    <w:p w14:paraId="4FA12163">
      <w:pPr>
        <w:numPr>
          <w:ilvl w:val="0"/>
          <w:numId w:val="0"/>
        </w:numPr>
        <w:spacing w:before="100" w:line="224" w:lineRule="auto"/>
        <w:rPr>
          <w:rFonts w:hint="eastAsia" w:ascii="Times New Roman" w:hAnsi="Times New Roman" w:eastAsia="仿宋_GB2312" w:cs="Times New Roman"/>
          <w:b/>
          <w:bCs/>
          <w:spacing w:val="8"/>
          <w:sz w:val="31"/>
          <w:szCs w:val="31"/>
          <w:lang w:eastAsia="zh-CN"/>
        </w:rPr>
      </w:pPr>
    </w:p>
    <w:p w14:paraId="1DF27CC6">
      <w:pPr>
        <w:numPr>
          <w:ilvl w:val="0"/>
          <w:numId w:val="0"/>
        </w:numPr>
        <w:spacing w:before="100" w:line="224" w:lineRule="auto"/>
        <w:rPr>
          <w:rFonts w:hint="eastAsia" w:ascii="Times New Roman" w:hAnsi="Times New Roman" w:eastAsia="仿宋_GB2312" w:cs="Times New Roman"/>
          <w:b/>
          <w:bCs/>
          <w:spacing w:val="8"/>
          <w:sz w:val="31"/>
          <w:szCs w:val="31"/>
          <w:lang w:eastAsia="zh-CN"/>
        </w:rPr>
      </w:pPr>
      <w:r>
        <w:rPr>
          <w:rFonts w:hint="eastAsia" w:ascii="Times New Roman" w:hAnsi="Times New Roman" w:eastAsia="仿宋_GB2312" w:cs="Times New Roman"/>
          <w:b/>
          <w:bCs/>
          <w:spacing w:val="8"/>
          <w:sz w:val="31"/>
          <w:szCs w:val="31"/>
          <w:lang w:eastAsia="zh-CN"/>
        </w:rPr>
        <w:drawing>
          <wp:inline distT="0" distB="0" distL="114300" distR="114300">
            <wp:extent cx="5269230" cy="7028815"/>
            <wp:effectExtent l="0" t="0" r="7620" b="635"/>
            <wp:docPr id="10" name="图片 10" descr="法治阵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法治阵地"/>
                    <pic:cNvPicPr>
                      <a:picLocks noChangeAspect="1"/>
                    </pic:cNvPicPr>
                  </pic:nvPicPr>
                  <pic:blipFill>
                    <a:blip r:embed="rId17"/>
                    <a:stretch>
                      <a:fillRect/>
                    </a:stretch>
                  </pic:blipFill>
                  <pic:spPr>
                    <a:xfrm>
                      <a:off x="0" y="0"/>
                      <a:ext cx="5269230" cy="7028815"/>
                    </a:xfrm>
                    <a:prstGeom prst="rect">
                      <a:avLst/>
                    </a:prstGeom>
                  </pic:spPr>
                </pic:pic>
              </a:graphicData>
            </a:graphic>
          </wp:inline>
        </w:drawing>
      </w:r>
    </w:p>
    <w:p w14:paraId="022C18A6">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1C29A110">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52576B9F">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79A529A4">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4195B2B6">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47CD9278">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566280F2">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drawing>
          <wp:inline distT="0" distB="0" distL="114300" distR="114300">
            <wp:extent cx="5271770" cy="7040245"/>
            <wp:effectExtent l="0" t="0" r="5080" b="8255"/>
            <wp:docPr id="12" name="图片 12" descr="社区矫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社区矫正"/>
                    <pic:cNvPicPr>
                      <a:picLocks noChangeAspect="1"/>
                    </pic:cNvPicPr>
                  </pic:nvPicPr>
                  <pic:blipFill>
                    <a:blip r:embed="rId18"/>
                    <a:stretch>
                      <a:fillRect/>
                    </a:stretch>
                  </pic:blipFill>
                  <pic:spPr>
                    <a:xfrm>
                      <a:off x="0" y="0"/>
                      <a:ext cx="5271770" cy="7040245"/>
                    </a:xfrm>
                    <a:prstGeom prst="rect">
                      <a:avLst/>
                    </a:prstGeom>
                  </pic:spPr>
                </pic:pic>
              </a:graphicData>
            </a:graphic>
          </wp:inline>
        </w:drawing>
      </w:r>
    </w:p>
    <w:p w14:paraId="52E9884A">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46B5B212">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54616138">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51368B76">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7AF4301B">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0440F331">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206D462F">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224F2660">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drawing>
          <wp:inline distT="0" distB="0" distL="114300" distR="114300">
            <wp:extent cx="5269230" cy="7313295"/>
            <wp:effectExtent l="0" t="0" r="7620" b="1905"/>
            <wp:docPr id="13" name="图片 13" descr="行政复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行政复议"/>
                    <pic:cNvPicPr>
                      <a:picLocks noChangeAspect="1"/>
                    </pic:cNvPicPr>
                  </pic:nvPicPr>
                  <pic:blipFill>
                    <a:blip r:embed="rId19"/>
                    <a:stretch>
                      <a:fillRect/>
                    </a:stretch>
                  </pic:blipFill>
                  <pic:spPr>
                    <a:xfrm>
                      <a:off x="0" y="0"/>
                      <a:ext cx="5269230" cy="7313295"/>
                    </a:xfrm>
                    <a:prstGeom prst="rect">
                      <a:avLst/>
                    </a:prstGeom>
                  </pic:spPr>
                </pic:pic>
              </a:graphicData>
            </a:graphic>
          </wp:inline>
        </w:drawing>
      </w:r>
    </w:p>
    <w:p w14:paraId="3D67A4A2">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5082DE9D">
      <w:pPr>
        <w:keepNext w:val="0"/>
        <w:keepLines w:val="0"/>
        <w:pageBreakBefore w:val="0"/>
        <w:widowControl/>
        <w:kinsoku/>
        <w:wordWrap/>
        <w:overflowPunct w:val="0"/>
        <w:topLinePunct w:val="0"/>
        <w:autoSpaceDE w:val="0"/>
        <w:autoSpaceDN/>
        <w:bidi w:val="0"/>
        <w:adjustRightInd w:val="0"/>
        <w:snapToGrid w:val="0"/>
        <w:spacing w:line="365" w:lineRule="auto"/>
        <w:textAlignment w:val="baseline"/>
        <w:rPr>
          <w:rFonts w:hint="eastAsia" w:ascii="Times New Roman" w:hAnsi="Times New Roman" w:eastAsia="仿宋_GB2312" w:cs="Times New Roman"/>
          <w:lang w:eastAsia="zh-CN"/>
        </w:rPr>
      </w:pPr>
    </w:p>
    <w:p w14:paraId="4FFE8565">
      <w:pPr>
        <w:numPr>
          <w:ilvl w:val="0"/>
          <w:numId w:val="0"/>
        </w:numPr>
        <w:spacing w:before="225" w:line="443" w:lineRule="exact"/>
        <w:jc w:val="center"/>
        <w:outlineLvl w:val="0"/>
        <w:rPr>
          <w:rFonts w:hint="eastAsia" w:ascii="Times New Roman" w:hAnsi="Times New Roman" w:eastAsia="仿宋_GB2312" w:cs="Times New Roman"/>
          <w:b/>
          <w:bCs/>
          <w:snapToGrid w:val="0"/>
          <w:color w:val="000000"/>
          <w:spacing w:val="5"/>
          <w:kern w:val="0"/>
          <w:position w:val="-2"/>
          <w:sz w:val="43"/>
          <w:szCs w:val="43"/>
          <w:lang w:val="en-US" w:eastAsia="en-US" w:bidi="ar-SA"/>
        </w:rPr>
      </w:pPr>
    </w:p>
    <w:p w14:paraId="2E8D39E9">
      <w:pPr>
        <w:numPr>
          <w:ilvl w:val="0"/>
          <w:numId w:val="0"/>
        </w:numPr>
        <w:spacing w:before="225" w:line="443" w:lineRule="exact"/>
        <w:jc w:val="center"/>
        <w:outlineLvl w:val="0"/>
        <w:rPr>
          <w:rFonts w:hint="eastAsia" w:ascii="Times New Roman" w:hAnsi="Times New Roman" w:eastAsia="仿宋_GB2312" w:cs="Times New Roman"/>
          <w:b/>
          <w:bCs/>
          <w:snapToGrid w:val="0"/>
          <w:color w:val="000000"/>
          <w:spacing w:val="5"/>
          <w:kern w:val="0"/>
          <w:position w:val="-2"/>
          <w:sz w:val="43"/>
          <w:szCs w:val="43"/>
          <w:lang w:val="en-US" w:eastAsia="en-US" w:bidi="ar-SA"/>
        </w:rPr>
      </w:pPr>
    </w:p>
    <w:p w14:paraId="08CDD30E">
      <w:pPr>
        <w:numPr>
          <w:ilvl w:val="0"/>
          <w:numId w:val="0"/>
        </w:numPr>
        <w:spacing w:before="225" w:line="443" w:lineRule="exact"/>
        <w:jc w:val="center"/>
        <w:outlineLvl w:val="0"/>
        <w:rPr>
          <w:rFonts w:hint="default" w:ascii="Times New Roman" w:hAnsi="Times New Roman" w:eastAsia="仿宋_GB2312" w:cs="Times New Roman"/>
          <w:b/>
          <w:bCs/>
          <w:spacing w:val="5"/>
          <w:position w:val="-2"/>
          <w:sz w:val="43"/>
          <w:szCs w:val="43"/>
        </w:rPr>
      </w:pPr>
      <w:r>
        <w:rPr>
          <w:rFonts w:hint="eastAsia" w:ascii="Times New Roman" w:hAnsi="Times New Roman" w:eastAsia="仿宋_GB2312" w:cs="Times New Roman"/>
          <w:b/>
          <w:bCs/>
          <w:snapToGrid w:val="0"/>
          <w:color w:val="000000"/>
          <w:spacing w:val="5"/>
          <w:kern w:val="0"/>
          <w:position w:val="-2"/>
          <w:sz w:val="43"/>
          <w:szCs w:val="43"/>
          <w:lang w:val="en-US" w:eastAsia="en-US" w:bidi="ar-SA"/>
        </w:rPr>
        <w:t>第三部分</w:t>
      </w:r>
      <w:r>
        <w:rPr>
          <w:rFonts w:hint="eastAsia" w:ascii="Times New Roman" w:hAnsi="Times New Roman" w:eastAsia="仿宋_GB2312" w:cs="Times New Roman"/>
          <w:b/>
          <w:bCs/>
          <w:snapToGrid w:val="0"/>
          <w:color w:val="000000"/>
          <w:spacing w:val="5"/>
          <w:kern w:val="0"/>
          <w:position w:val="-2"/>
          <w:sz w:val="43"/>
          <w:szCs w:val="43"/>
          <w:lang w:val="en-US" w:eastAsia="zh-CN" w:bidi="ar-SA"/>
        </w:rPr>
        <w:t xml:space="preserve"> </w:t>
      </w:r>
      <w:r>
        <w:rPr>
          <w:rFonts w:hint="default" w:ascii="Times New Roman" w:hAnsi="Times New Roman" w:eastAsia="仿宋_GB2312" w:cs="Times New Roman"/>
          <w:b/>
          <w:bCs/>
          <w:spacing w:val="5"/>
          <w:position w:val="-2"/>
          <w:sz w:val="43"/>
          <w:szCs w:val="43"/>
        </w:rPr>
        <w:t>2023年度部门决算情况说明</w:t>
      </w:r>
    </w:p>
    <w:p w14:paraId="09A9BCBB">
      <w:pPr>
        <w:numPr>
          <w:ilvl w:val="0"/>
          <w:numId w:val="0"/>
        </w:numPr>
        <w:spacing w:before="225" w:line="443" w:lineRule="exact"/>
        <w:jc w:val="center"/>
        <w:outlineLvl w:val="0"/>
        <w:rPr>
          <w:rFonts w:hint="default" w:ascii="Times New Roman" w:hAnsi="Times New Roman" w:eastAsia="仿宋_GB2312" w:cs="Times New Roman"/>
          <w:b/>
          <w:bCs/>
          <w:spacing w:val="5"/>
          <w:position w:val="-2"/>
          <w:sz w:val="43"/>
          <w:szCs w:val="43"/>
        </w:rPr>
      </w:pPr>
    </w:p>
    <w:p w14:paraId="7CD16FAB">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3" w:firstLineChars="200"/>
        <w:jc w:val="both"/>
        <w:textAlignment w:val="baseline"/>
        <w:outlineLvl w:val="0"/>
        <w:rPr>
          <w:rFonts w:hint="eastAsia" w:ascii="仿宋_GB2312" w:hAnsi="仿宋_GB2312" w:eastAsia="仿宋_GB2312" w:cs="仿宋_GB2312"/>
          <w:b/>
          <w:bCs/>
          <w:spacing w:val="5"/>
          <w:position w:val="-2"/>
          <w:sz w:val="32"/>
          <w:szCs w:val="32"/>
        </w:rPr>
      </w:pPr>
      <w:r>
        <w:rPr>
          <w:rFonts w:hint="eastAsia" w:ascii="仿宋_GB2312" w:hAnsi="仿宋_GB2312" w:eastAsia="仿宋_GB2312" w:cs="仿宋_GB2312"/>
          <w:b/>
          <w:bCs/>
          <w:spacing w:val="5"/>
          <w:position w:val="-2"/>
          <w:sz w:val="32"/>
          <w:szCs w:val="32"/>
        </w:rPr>
        <w:t>一、收入支出决算总体情况说明</w:t>
      </w:r>
    </w:p>
    <w:p w14:paraId="43AFF657">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2023 年度收、支总计均为</w:t>
      </w:r>
      <w:r>
        <w:rPr>
          <w:rFonts w:hint="eastAsia" w:ascii="仿宋_GB2312" w:hAnsi="仿宋_GB2312" w:eastAsia="仿宋_GB2312" w:cs="仿宋_GB2312"/>
          <w:b w:val="0"/>
          <w:bCs w:val="0"/>
          <w:spacing w:val="5"/>
          <w:position w:val="-2"/>
          <w:sz w:val="32"/>
          <w:szCs w:val="32"/>
          <w:lang w:val="en-US" w:eastAsia="zh-CN"/>
        </w:rPr>
        <w:t>2811.82</w:t>
      </w:r>
      <w:r>
        <w:rPr>
          <w:rFonts w:hint="eastAsia" w:ascii="仿宋_GB2312" w:hAnsi="仿宋_GB2312" w:eastAsia="仿宋_GB2312" w:cs="仿宋_GB2312"/>
          <w:b w:val="0"/>
          <w:bCs w:val="0"/>
          <w:spacing w:val="5"/>
          <w:position w:val="-2"/>
          <w:sz w:val="32"/>
          <w:szCs w:val="32"/>
        </w:rPr>
        <w:t>万元。与 2022 年度相比，收、支总计各</w:t>
      </w:r>
      <w:r>
        <w:rPr>
          <w:rFonts w:hint="eastAsia" w:ascii="仿宋_GB2312" w:hAnsi="仿宋_GB2312" w:eastAsia="仿宋_GB2312" w:cs="仿宋_GB2312"/>
          <w:b w:val="0"/>
          <w:bCs w:val="0"/>
          <w:spacing w:val="5"/>
          <w:position w:val="-2"/>
          <w:sz w:val="32"/>
          <w:szCs w:val="32"/>
          <w:lang w:val="en-US" w:eastAsia="zh-CN"/>
        </w:rPr>
        <w:t>增加了152.77</w:t>
      </w:r>
      <w:r>
        <w:rPr>
          <w:rFonts w:hint="eastAsia" w:ascii="仿宋_GB2312" w:hAnsi="仿宋_GB2312" w:eastAsia="仿宋_GB2312" w:cs="仿宋_GB2312"/>
          <w:b w:val="0"/>
          <w:bCs w:val="0"/>
          <w:spacing w:val="5"/>
          <w:position w:val="-2"/>
          <w:sz w:val="32"/>
          <w:szCs w:val="32"/>
        </w:rPr>
        <w:t>万元，增长</w:t>
      </w:r>
      <w:r>
        <w:rPr>
          <w:rFonts w:hint="eastAsia" w:ascii="仿宋_GB2312" w:hAnsi="仿宋_GB2312" w:eastAsia="仿宋_GB2312" w:cs="仿宋_GB2312"/>
          <w:b w:val="0"/>
          <w:bCs w:val="0"/>
          <w:spacing w:val="5"/>
          <w:position w:val="-2"/>
          <w:sz w:val="32"/>
          <w:szCs w:val="32"/>
          <w:lang w:val="en-US" w:eastAsia="zh-CN"/>
        </w:rPr>
        <w:t>5.4</w:t>
      </w:r>
      <w:r>
        <w:rPr>
          <w:rFonts w:hint="eastAsia" w:ascii="仿宋_GB2312" w:hAnsi="仿宋_GB2312" w:eastAsia="仿宋_GB2312" w:cs="仿宋_GB2312"/>
          <w:b w:val="0"/>
          <w:bCs w:val="0"/>
          <w:spacing w:val="5"/>
          <w:position w:val="-2"/>
          <w:sz w:val="32"/>
          <w:szCs w:val="32"/>
        </w:rPr>
        <w:t xml:space="preserve"> %。主要原因：增加了法治阵地建设资金，工资、养老保险等。</w:t>
      </w:r>
    </w:p>
    <w:p w14:paraId="1BAFE69A">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3" w:firstLineChars="200"/>
        <w:jc w:val="both"/>
        <w:textAlignment w:val="baseline"/>
        <w:outlineLvl w:val="0"/>
        <w:rPr>
          <w:rFonts w:hint="eastAsia" w:ascii="仿宋_GB2312" w:hAnsi="仿宋_GB2312" w:eastAsia="仿宋_GB2312" w:cs="仿宋_GB2312"/>
          <w:b/>
          <w:bCs/>
          <w:spacing w:val="5"/>
          <w:position w:val="-2"/>
          <w:sz w:val="32"/>
          <w:szCs w:val="32"/>
        </w:rPr>
      </w:pPr>
      <w:r>
        <w:rPr>
          <w:rFonts w:hint="eastAsia" w:ascii="仿宋_GB2312" w:hAnsi="仿宋_GB2312" w:eastAsia="仿宋_GB2312" w:cs="仿宋_GB2312"/>
          <w:b/>
          <w:bCs/>
          <w:spacing w:val="5"/>
          <w:position w:val="-2"/>
          <w:sz w:val="32"/>
          <w:szCs w:val="32"/>
        </w:rPr>
        <w:t>二、收入决算情况说明</w:t>
      </w:r>
    </w:p>
    <w:p w14:paraId="37956081">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本年收入合计</w:t>
      </w:r>
      <w:r>
        <w:rPr>
          <w:rFonts w:hint="eastAsia" w:ascii="仿宋_GB2312" w:hAnsi="仿宋_GB2312" w:eastAsia="仿宋_GB2312" w:cs="仿宋_GB2312"/>
          <w:b w:val="0"/>
          <w:bCs w:val="0"/>
          <w:spacing w:val="5"/>
          <w:position w:val="-2"/>
          <w:sz w:val="32"/>
          <w:szCs w:val="32"/>
          <w:lang w:val="en-US" w:eastAsia="zh-CN"/>
        </w:rPr>
        <w:t>2811.82</w:t>
      </w:r>
      <w:r>
        <w:rPr>
          <w:rFonts w:hint="eastAsia" w:ascii="仿宋_GB2312" w:hAnsi="仿宋_GB2312" w:eastAsia="仿宋_GB2312" w:cs="仿宋_GB2312"/>
          <w:b w:val="0"/>
          <w:bCs w:val="0"/>
          <w:spacing w:val="5"/>
          <w:position w:val="-2"/>
          <w:sz w:val="32"/>
          <w:szCs w:val="32"/>
        </w:rPr>
        <w:t>万元，其中：财政拨款收入2628.14万元，比上年增加</w:t>
      </w:r>
      <w:r>
        <w:rPr>
          <w:rFonts w:hint="eastAsia" w:ascii="仿宋_GB2312" w:hAnsi="仿宋_GB2312" w:eastAsia="仿宋_GB2312" w:cs="仿宋_GB2312"/>
          <w:b w:val="0"/>
          <w:bCs w:val="0"/>
          <w:spacing w:val="5"/>
          <w:position w:val="-2"/>
          <w:sz w:val="32"/>
          <w:szCs w:val="32"/>
          <w:lang w:val="en-US" w:eastAsia="zh-CN"/>
        </w:rPr>
        <w:t>152.77</w:t>
      </w:r>
      <w:r>
        <w:rPr>
          <w:rFonts w:hint="eastAsia" w:ascii="仿宋_GB2312" w:hAnsi="仿宋_GB2312" w:eastAsia="仿宋_GB2312" w:cs="仿宋_GB2312"/>
          <w:b w:val="0"/>
          <w:bCs w:val="0"/>
          <w:spacing w:val="5"/>
          <w:position w:val="-2"/>
          <w:sz w:val="32"/>
          <w:szCs w:val="32"/>
        </w:rPr>
        <w:t>万元，增长</w:t>
      </w:r>
      <w:r>
        <w:rPr>
          <w:rFonts w:hint="eastAsia" w:ascii="仿宋_GB2312" w:hAnsi="仿宋_GB2312" w:eastAsia="仿宋_GB2312" w:cs="仿宋_GB2312"/>
          <w:b w:val="0"/>
          <w:bCs w:val="0"/>
          <w:spacing w:val="5"/>
          <w:position w:val="-2"/>
          <w:sz w:val="32"/>
          <w:szCs w:val="32"/>
          <w:lang w:val="en-US" w:eastAsia="zh-CN"/>
        </w:rPr>
        <w:t>5.4</w:t>
      </w:r>
      <w:r>
        <w:rPr>
          <w:rFonts w:hint="eastAsia" w:ascii="仿宋_GB2312" w:hAnsi="仿宋_GB2312" w:eastAsia="仿宋_GB2312" w:cs="仿宋_GB2312"/>
          <w:b w:val="0"/>
          <w:bCs w:val="0"/>
          <w:spacing w:val="5"/>
          <w:position w:val="-2"/>
          <w:sz w:val="32"/>
          <w:szCs w:val="32"/>
        </w:rPr>
        <w:t xml:space="preserve"> %，主要是增加了法治阵地建设资金，工资、养老保险等；上级补助收入 0万元，比上年增加（减少）0万元，增长（下降）0 %</w:t>
      </w:r>
      <w:r>
        <w:rPr>
          <w:rFonts w:hint="eastAsia" w:ascii="仿宋_GB2312" w:hAnsi="仿宋_GB2312" w:eastAsia="仿宋_GB2312" w:cs="仿宋_GB2312"/>
          <w:b w:val="0"/>
          <w:bCs w:val="0"/>
          <w:spacing w:val="5"/>
          <w:position w:val="-2"/>
          <w:sz w:val="32"/>
          <w:szCs w:val="32"/>
          <w:lang w:eastAsia="zh-CN"/>
        </w:rPr>
        <w:t>。</w:t>
      </w:r>
      <w:r>
        <w:rPr>
          <w:rFonts w:hint="eastAsia" w:ascii="仿宋_GB2312" w:hAnsi="仿宋_GB2312" w:eastAsia="仿宋_GB2312" w:cs="仿宋_GB2312"/>
          <w:b w:val="0"/>
          <w:bCs w:val="0"/>
          <w:spacing w:val="5"/>
          <w:position w:val="-2"/>
          <w:sz w:val="32"/>
          <w:szCs w:val="32"/>
        </w:rPr>
        <w:t>事业收入0万元，比上年增加（减少）0万元， 增长（下降）0 %；经营收入 0万元，比上年增加（减少）0万元，增长（下降）0 %，；附属单位上缴收入0万元，比上年增加（减少）0万元，增长（下降）0 %；其他收入0万元，比上年增加（减少）0万元。增长（下降）0 %。</w:t>
      </w:r>
    </w:p>
    <w:p w14:paraId="0B64A672">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3" w:firstLineChars="200"/>
        <w:jc w:val="both"/>
        <w:textAlignment w:val="baseline"/>
        <w:outlineLvl w:val="0"/>
        <w:rPr>
          <w:rFonts w:hint="eastAsia" w:ascii="仿宋_GB2312" w:hAnsi="仿宋_GB2312" w:eastAsia="仿宋_GB2312" w:cs="仿宋_GB2312"/>
          <w:b/>
          <w:bCs/>
          <w:spacing w:val="5"/>
          <w:position w:val="-2"/>
          <w:sz w:val="32"/>
          <w:szCs w:val="32"/>
        </w:rPr>
      </w:pPr>
      <w:r>
        <w:rPr>
          <w:rFonts w:hint="eastAsia" w:ascii="仿宋_GB2312" w:hAnsi="仿宋_GB2312" w:eastAsia="仿宋_GB2312" w:cs="仿宋_GB2312"/>
          <w:b/>
          <w:bCs/>
          <w:spacing w:val="5"/>
          <w:position w:val="-2"/>
          <w:sz w:val="32"/>
          <w:szCs w:val="32"/>
        </w:rPr>
        <w:t>三、支出决算情况说明</w:t>
      </w:r>
    </w:p>
    <w:p w14:paraId="11694094">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本年支出合计</w:t>
      </w:r>
      <w:r>
        <w:rPr>
          <w:rFonts w:hint="eastAsia" w:ascii="仿宋_GB2312" w:hAnsi="仿宋_GB2312" w:eastAsia="仿宋_GB2312" w:cs="仿宋_GB2312"/>
          <w:b w:val="0"/>
          <w:bCs w:val="0"/>
          <w:spacing w:val="5"/>
          <w:position w:val="-2"/>
          <w:sz w:val="32"/>
          <w:szCs w:val="32"/>
          <w:lang w:val="en-US" w:eastAsia="zh-CN"/>
        </w:rPr>
        <w:t>2811.82</w:t>
      </w:r>
      <w:r>
        <w:rPr>
          <w:rFonts w:hint="eastAsia" w:ascii="仿宋_GB2312" w:hAnsi="仿宋_GB2312" w:eastAsia="仿宋_GB2312" w:cs="仿宋_GB2312"/>
          <w:b w:val="0"/>
          <w:bCs w:val="0"/>
          <w:spacing w:val="5"/>
          <w:position w:val="-2"/>
          <w:sz w:val="32"/>
          <w:szCs w:val="32"/>
        </w:rPr>
        <w:t xml:space="preserve">万元，其中基本支出 </w:t>
      </w:r>
      <w:r>
        <w:rPr>
          <w:rFonts w:hint="eastAsia" w:ascii="仿宋_GB2312" w:hAnsi="仿宋_GB2312" w:eastAsia="仿宋_GB2312" w:cs="仿宋_GB2312"/>
          <w:b w:val="0"/>
          <w:bCs w:val="0"/>
          <w:spacing w:val="5"/>
          <w:position w:val="-2"/>
          <w:sz w:val="32"/>
          <w:szCs w:val="32"/>
          <w:lang w:val="en-US" w:eastAsia="zh-CN"/>
        </w:rPr>
        <w:t>2702.62</w:t>
      </w:r>
      <w:r>
        <w:rPr>
          <w:rFonts w:hint="eastAsia" w:ascii="仿宋_GB2312" w:hAnsi="仿宋_GB2312" w:eastAsia="仿宋_GB2312" w:cs="仿宋_GB2312"/>
          <w:b w:val="0"/>
          <w:bCs w:val="0"/>
          <w:spacing w:val="5"/>
          <w:position w:val="-2"/>
          <w:sz w:val="32"/>
          <w:szCs w:val="32"/>
        </w:rPr>
        <w:t>万元，比上年</w:t>
      </w:r>
      <w:r>
        <w:rPr>
          <w:rFonts w:hint="eastAsia" w:ascii="仿宋_GB2312" w:hAnsi="仿宋_GB2312" w:eastAsia="仿宋_GB2312" w:cs="仿宋_GB2312"/>
          <w:b w:val="0"/>
          <w:bCs w:val="0"/>
          <w:spacing w:val="5"/>
          <w:position w:val="-2"/>
          <w:sz w:val="32"/>
          <w:szCs w:val="32"/>
          <w:lang w:val="en-US" w:eastAsia="zh-CN"/>
        </w:rPr>
        <w:t>增加43.57</w:t>
      </w:r>
      <w:r>
        <w:rPr>
          <w:rFonts w:hint="eastAsia" w:ascii="仿宋_GB2312" w:hAnsi="仿宋_GB2312" w:eastAsia="仿宋_GB2312" w:cs="仿宋_GB2312"/>
          <w:b w:val="0"/>
          <w:bCs w:val="0"/>
          <w:spacing w:val="5"/>
          <w:position w:val="-2"/>
          <w:sz w:val="32"/>
          <w:szCs w:val="32"/>
        </w:rPr>
        <w:t>万元，增长</w:t>
      </w:r>
      <w:r>
        <w:rPr>
          <w:rFonts w:hint="eastAsia" w:ascii="仿宋_GB2312" w:hAnsi="仿宋_GB2312" w:eastAsia="仿宋_GB2312" w:cs="仿宋_GB2312"/>
          <w:b w:val="0"/>
          <w:bCs w:val="0"/>
          <w:spacing w:val="5"/>
          <w:position w:val="-2"/>
          <w:sz w:val="32"/>
          <w:szCs w:val="32"/>
          <w:lang w:val="en-US" w:eastAsia="zh-CN"/>
        </w:rPr>
        <w:t>1.6</w:t>
      </w:r>
      <w:r>
        <w:rPr>
          <w:rFonts w:hint="eastAsia" w:ascii="仿宋_GB2312" w:hAnsi="仿宋_GB2312" w:eastAsia="仿宋_GB2312" w:cs="仿宋_GB2312"/>
          <w:b w:val="0"/>
          <w:bCs w:val="0"/>
          <w:spacing w:val="5"/>
          <w:position w:val="-2"/>
          <w:sz w:val="32"/>
          <w:szCs w:val="32"/>
        </w:rPr>
        <w:t xml:space="preserve"> %，主要是</w:t>
      </w:r>
      <w:r>
        <w:rPr>
          <w:rFonts w:hint="eastAsia" w:ascii="仿宋_GB2312" w:hAnsi="仿宋_GB2312" w:eastAsia="仿宋_GB2312" w:cs="仿宋_GB2312"/>
          <w:b w:val="0"/>
          <w:bCs w:val="0"/>
          <w:spacing w:val="5"/>
          <w:position w:val="-2"/>
          <w:sz w:val="32"/>
          <w:szCs w:val="32"/>
          <w:lang w:val="en-US" w:eastAsia="zh-CN"/>
        </w:rPr>
        <w:t>增加</w:t>
      </w:r>
      <w:r>
        <w:rPr>
          <w:rFonts w:hint="eastAsia" w:ascii="仿宋_GB2312" w:hAnsi="仿宋_GB2312" w:eastAsia="仿宋_GB2312" w:cs="仿宋_GB2312"/>
          <w:b w:val="0"/>
          <w:bCs w:val="0"/>
          <w:spacing w:val="5"/>
          <w:position w:val="-2"/>
          <w:sz w:val="32"/>
          <w:szCs w:val="32"/>
          <w:lang w:eastAsia="zh-CN"/>
        </w:rPr>
        <w:t>了</w:t>
      </w:r>
      <w:r>
        <w:rPr>
          <w:rFonts w:hint="eastAsia" w:ascii="仿宋_GB2312" w:hAnsi="仿宋_GB2312" w:eastAsia="仿宋_GB2312" w:cs="仿宋_GB2312"/>
          <w:b w:val="0"/>
          <w:bCs w:val="0"/>
          <w:spacing w:val="5"/>
          <w:position w:val="-2"/>
          <w:sz w:val="32"/>
          <w:szCs w:val="32"/>
          <w:lang w:val="en-US" w:eastAsia="zh-CN"/>
        </w:rPr>
        <w:t>工资养老</w:t>
      </w:r>
      <w:r>
        <w:rPr>
          <w:rFonts w:hint="eastAsia" w:ascii="仿宋_GB2312" w:hAnsi="仿宋_GB2312" w:eastAsia="仿宋_GB2312" w:cs="仿宋_GB2312"/>
          <w:b w:val="0"/>
          <w:bCs w:val="0"/>
          <w:spacing w:val="5"/>
          <w:position w:val="-2"/>
          <w:sz w:val="32"/>
          <w:szCs w:val="32"/>
        </w:rPr>
        <w:t>金；项目支出109.2万元，比上年增加109.2万元，增长100 %，主要是增加了法治阵地建设资金。上缴上级支出 0万元，经营支出 0万元，对附属单 位补助支出 0万元，</w:t>
      </w:r>
    </w:p>
    <w:p w14:paraId="476CE6FF">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3" w:firstLineChars="200"/>
        <w:jc w:val="both"/>
        <w:textAlignment w:val="baseline"/>
        <w:outlineLvl w:val="0"/>
        <w:rPr>
          <w:rFonts w:hint="eastAsia" w:ascii="仿宋_GB2312" w:hAnsi="仿宋_GB2312" w:eastAsia="仿宋_GB2312" w:cs="仿宋_GB2312"/>
          <w:b/>
          <w:bCs/>
          <w:spacing w:val="5"/>
          <w:position w:val="-2"/>
          <w:sz w:val="32"/>
          <w:szCs w:val="32"/>
        </w:rPr>
      </w:pPr>
      <w:r>
        <w:rPr>
          <w:rFonts w:hint="eastAsia" w:ascii="仿宋_GB2312" w:hAnsi="仿宋_GB2312" w:eastAsia="仿宋_GB2312" w:cs="仿宋_GB2312"/>
          <w:b/>
          <w:bCs/>
          <w:spacing w:val="5"/>
          <w:position w:val="-2"/>
          <w:sz w:val="32"/>
          <w:szCs w:val="32"/>
        </w:rPr>
        <w:t>四、财政拨款收入支出决算总体情况说明</w:t>
      </w:r>
    </w:p>
    <w:p w14:paraId="1E3E278B">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2023年度财政拨款收、支总计均为</w:t>
      </w:r>
      <w:r>
        <w:rPr>
          <w:rFonts w:hint="eastAsia" w:ascii="仿宋_GB2312" w:hAnsi="仿宋_GB2312" w:eastAsia="仿宋_GB2312" w:cs="仿宋_GB2312"/>
          <w:b w:val="0"/>
          <w:bCs w:val="0"/>
          <w:spacing w:val="5"/>
          <w:position w:val="-2"/>
          <w:sz w:val="32"/>
          <w:szCs w:val="32"/>
          <w:lang w:val="en-US" w:eastAsia="zh-CN"/>
        </w:rPr>
        <w:t>2811.82</w:t>
      </w:r>
      <w:r>
        <w:rPr>
          <w:rFonts w:hint="eastAsia" w:ascii="仿宋_GB2312" w:hAnsi="仿宋_GB2312" w:eastAsia="仿宋_GB2312" w:cs="仿宋_GB2312"/>
          <w:b w:val="0"/>
          <w:bCs w:val="0"/>
          <w:spacing w:val="5"/>
          <w:position w:val="-2"/>
          <w:sz w:val="32"/>
          <w:szCs w:val="32"/>
        </w:rPr>
        <w:t>万元，与 2022年相比，财政拨款收、支总计各增加</w:t>
      </w:r>
      <w:r>
        <w:rPr>
          <w:rFonts w:hint="eastAsia" w:ascii="仿宋_GB2312" w:hAnsi="仿宋_GB2312" w:eastAsia="仿宋_GB2312" w:cs="仿宋_GB2312"/>
          <w:b w:val="0"/>
          <w:bCs w:val="0"/>
          <w:spacing w:val="5"/>
          <w:position w:val="-2"/>
          <w:sz w:val="32"/>
          <w:szCs w:val="32"/>
          <w:lang w:val="en-US" w:eastAsia="zh-CN"/>
        </w:rPr>
        <w:t>152.77</w:t>
      </w:r>
      <w:r>
        <w:rPr>
          <w:rFonts w:hint="eastAsia" w:ascii="仿宋_GB2312" w:hAnsi="仿宋_GB2312" w:eastAsia="仿宋_GB2312" w:cs="仿宋_GB2312"/>
          <w:b w:val="0"/>
          <w:bCs w:val="0"/>
          <w:spacing w:val="5"/>
          <w:position w:val="-2"/>
          <w:sz w:val="32"/>
          <w:szCs w:val="32"/>
        </w:rPr>
        <w:t>万元，增长</w:t>
      </w:r>
      <w:r>
        <w:rPr>
          <w:rFonts w:hint="eastAsia" w:ascii="仿宋_GB2312" w:hAnsi="仿宋_GB2312" w:eastAsia="仿宋_GB2312" w:cs="仿宋_GB2312"/>
          <w:b w:val="0"/>
          <w:bCs w:val="0"/>
          <w:spacing w:val="5"/>
          <w:position w:val="-2"/>
          <w:sz w:val="32"/>
          <w:szCs w:val="32"/>
          <w:lang w:val="en-US" w:eastAsia="zh-CN"/>
        </w:rPr>
        <w:t>5.4</w:t>
      </w:r>
      <w:r>
        <w:rPr>
          <w:rFonts w:hint="eastAsia" w:ascii="仿宋_GB2312" w:hAnsi="仿宋_GB2312" w:eastAsia="仿宋_GB2312" w:cs="仿宋_GB2312"/>
          <w:b w:val="0"/>
          <w:bCs w:val="0"/>
          <w:spacing w:val="5"/>
          <w:position w:val="-2"/>
          <w:sz w:val="32"/>
          <w:szCs w:val="32"/>
        </w:rPr>
        <w:t xml:space="preserve"> %，主要原因：增加了法治阵地建设资金，工资、养老保险等；</w:t>
      </w:r>
    </w:p>
    <w:p w14:paraId="6B977B4E">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3" w:firstLineChars="200"/>
        <w:jc w:val="both"/>
        <w:textAlignment w:val="baseline"/>
        <w:outlineLvl w:val="0"/>
        <w:rPr>
          <w:rFonts w:hint="eastAsia" w:ascii="仿宋_GB2312" w:hAnsi="仿宋_GB2312" w:eastAsia="仿宋_GB2312" w:cs="仿宋_GB2312"/>
          <w:b/>
          <w:bCs/>
          <w:spacing w:val="5"/>
          <w:position w:val="-2"/>
          <w:sz w:val="32"/>
          <w:szCs w:val="32"/>
        </w:rPr>
      </w:pPr>
      <w:r>
        <w:rPr>
          <w:rFonts w:hint="eastAsia" w:ascii="仿宋_GB2312" w:hAnsi="仿宋_GB2312" w:eastAsia="仿宋_GB2312" w:cs="仿宋_GB2312"/>
          <w:b/>
          <w:bCs/>
          <w:spacing w:val="5"/>
          <w:position w:val="-2"/>
          <w:sz w:val="32"/>
          <w:szCs w:val="32"/>
        </w:rPr>
        <w:t>五、一般公共预算财政拨款支出决算情况说明</w:t>
      </w:r>
    </w:p>
    <w:p w14:paraId="0398CE87">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（一）一般公共预算财政拨款支出决算总体情况</w:t>
      </w:r>
    </w:p>
    <w:p w14:paraId="4D2E2FCE">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2023 年度一般公共预算财政拨款支出</w:t>
      </w:r>
      <w:r>
        <w:rPr>
          <w:rFonts w:hint="eastAsia" w:ascii="仿宋_GB2312" w:hAnsi="仿宋_GB2312" w:eastAsia="仿宋_GB2312" w:cs="仿宋_GB2312"/>
          <w:b w:val="0"/>
          <w:bCs w:val="0"/>
          <w:spacing w:val="5"/>
          <w:position w:val="-2"/>
          <w:sz w:val="32"/>
          <w:szCs w:val="32"/>
          <w:lang w:val="en-US" w:eastAsia="zh-CN"/>
        </w:rPr>
        <w:t>2811.82</w:t>
      </w:r>
      <w:r>
        <w:rPr>
          <w:rFonts w:hint="eastAsia" w:ascii="仿宋_GB2312" w:hAnsi="仿宋_GB2312" w:eastAsia="仿宋_GB2312" w:cs="仿宋_GB2312"/>
          <w:b w:val="0"/>
          <w:bCs w:val="0"/>
          <w:spacing w:val="5"/>
          <w:position w:val="-2"/>
          <w:sz w:val="32"/>
          <w:szCs w:val="32"/>
        </w:rPr>
        <w:t>万元，占本年支出合计的 100 %。与2022年度相比，一般公共预算财政拨款支出增加</w:t>
      </w:r>
      <w:r>
        <w:rPr>
          <w:rFonts w:hint="eastAsia" w:ascii="仿宋_GB2312" w:hAnsi="仿宋_GB2312" w:eastAsia="仿宋_GB2312" w:cs="仿宋_GB2312"/>
          <w:b w:val="0"/>
          <w:bCs w:val="0"/>
          <w:spacing w:val="5"/>
          <w:position w:val="-2"/>
          <w:sz w:val="32"/>
          <w:szCs w:val="32"/>
          <w:lang w:val="en-US" w:eastAsia="zh-CN"/>
        </w:rPr>
        <w:t>152.77</w:t>
      </w:r>
      <w:r>
        <w:rPr>
          <w:rFonts w:hint="eastAsia" w:ascii="仿宋_GB2312" w:hAnsi="仿宋_GB2312" w:eastAsia="仿宋_GB2312" w:cs="仿宋_GB2312"/>
          <w:b w:val="0"/>
          <w:bCs w:val="0"/>
          <w:spacing w:val="5"/>
          <w:position w:val="-2"/>
          <w:sz w:val="32"/>
          <w:szCs w:val="32"/>
        </w:rPr>
        <w:t>万元，增长</w:t>
      </w:r>
      <w:r>
        <w:rPr>
          <w:rFonts w:hint="eastAsia" w:ascii="仿宋_GB2312" w:hAnsi="仿宋_GB2312" w:eastAsia="仿宋_GB2312" w:cs="仿宋_GB2312"/>
          <w:b w:val="0"/>
          <w:bCs w:val="0"/>
          <w:spacing w:val="5"/>
          <w:position w:val="-2"/>
          <w:sz w:val="32"/>
          <w:szCs w:val="32"/>
          <w:lang w:val="en-US" w:eastAsia="zh-CN"/>
        </w:rPr>
        <w:t>5.4</w:t>
      </w:r>
      <w:r>
        <w:rPr>
          <w:rFonts w:hint="eastAsia" w:ascii="仿宋_GB2312" w:hAnsi="仿宋_GB2312" w:eastAsia="仿宋_GB2312" w:cs="仿宋_GB2312"/>
          <w:b w:val="0"/>
          <w:bCs w:val="0"/>
          <w:spacing w:val="5"/>
          <w:position w:val="-2"/>
          <w:sz w:val="32"/>
          <w:szCs w:val="32"/>
        </w:rPr>
        <w:t xml:space="preserve">  %。主要原因：增加了法治阵地建设资金，工资、养老保险等。</w:t>
      </w:r>
    </w:p>
    <w:p w14:paraId="33FCE3A2">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（二） 一般公共预算财政拨款支出决算结构情况</w:t>
      </w:r>
    </w:p>
    <w:p w14:paraId="6D1BC329">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2023 年度一般公共预算财政拨款支出</w:t>
      </w:r>
      <w:r>
        <w:rPr>
          <w:rFonts w:hint="eastAsia" w:ascii="仿宋_GB2312" w:hAnsi="仿宋_GB2312" w:eastAsia="仿宋_GB2312" w:cs="仿宋_GB2312"/>
          <w:b w:val="0"/>
          <w:bCs w:val="0"/>
          <w:spacing w:val="5"/>
          <w:position w:val="-2"/>
          <w:sz w:val="32"/>
          <w:szCs w:val="32"/>
          <w:lang w:val="en-US" w:eastAsia="zh-CN"/>
        </w:rPr>
        <w:t>2811.82</w:t>
      </w:r>
      <w:r>
        <w:rPr>
          <w:rFonts w:hint="eastAsia" w:ascii="仿宋_GB2312" w:hAnsi="仿宋_GB2312" w:eastAsia="仿宋_GB2312" w:cs="仿宋_GB2312"/>
          <w:b w:val="0"/>
          <w:bCs w:val="0"/>
          <w:spacing w:val="5"/>
          <w:position w:val="-2"/>
          <w:sz w:val="32"/>
          <w:szCs w:val="32"/>
        </w:rPr>
        <w:t>万元，主要用于以下方面：公共安全支出</w:t>
      </w:r>
      <w:r>
        <w:rPr>
          <w:rFonts w:hint="eastAsia" w:ascii="仿宋_GB2312" w:hAnsi="仿宋_GB2312" w:eastAsia="仿宋_GB2312" w:cs="仿宋_GB2312"/>
          <w:b w:val="0"/>
          <w:bCs w:val="0"/>
          <w:spacing w:val="5"/>
          <w:position w:val="-2"/>
          <w:sz w:val="32"/>
          <w:szCs w:val="32"/>
          <w:lang w:val="en-US" w:eastAsia="zh-CN"/>
        </w:rPr>
        <w:t>2245.79</w:t>
      </w:r>
      <w:r>
        <w:rPr>
          <w:rFonts w:hint="eastAsia" w:ascii="仿宋_GB2312" w:hAnsi="仿宋_GB2312" w:eastAsia="仿宋_GB2312" w:cs="仿宋_GB2312"/>
          <w:b w:val="0"/>
          <w:bCs w:val="0"/>
          <w:spacing w:val="5"/>
          <w:position w:val="-2"/>
          <w:sz w:val="32"/>
          <w:szCs w:val="32"/>
        </w:rPr>
        <w:t>万元，占79.</w:t>
      </w:r>
      <w:r>
        <w:rPr>
          <w:rFonts w:hint="eastAsia" w:ascii="仿宋_GB2312" w:hAnsi="仿宋_GB2312" w:eastAsia="仿宋_GB2312" w:cs="仿宋_GB2312"/>
          <w:b w:val="0"/>
          <w:bCs w:val="0"/>
          <w:spacing w:val="5"/>
          <w:position w:val="-2"/>
          <w:sz w:val="32"/>
          <w:szCs w:val="32"/>
          <w:lang w:val="en-US" w:eastAsia="zh-CN"/>
        </w:rPr>
        <w:t>87</w:t>
      </w:r>
      <w:r>
        <w:rPr>
          <w:rFonts w:hint="eastAsia" w:ascii="仿宋_GB2312" w:hAnsi="仿宋_GB2312" w:eastAsia="仿宋_GB2312" w:cs="仿宋_GB2312"/>
          <w:b w:val="0"/>
          <w:bCs w:val="0"/>
          <w:spacing w:val="5"/>
          <w:position w:val="-2"/>
          <w:sz w:val="32"/>
          <w:szCs w:val="32"/>
        </w:rPr>
        <w:t>%；社会保障和就业支出</w:t>
      </w:r>
      <w:r>
        <w:rPr>
          <w:rFonts w:hint="eastAsia" w:ascii="仿宋_GB2312" w:hAnsi="仿宋_GB2312" w:eastAsia="仿宋_GB2312" w:cs="仿宋_GB2312"/>
          <w:b w:val="0"/>
          <w:bCs w:val="0"/>
          <w:spacing w:val="5"/>
          <w:position w:val="-2"/>
          <w:sz w:val="32"/>
          <w:szCs w:val="32"/>
          <w:lang w:val="en-US" w:eastAsia="zh-CN"/>
        </w:rPr>
        <w:t>284.12</w:t>
      </w:r>
      <w:r>
        <w:rPr>
          <w:rFonts w:hint="eastAsia" w:ascii="仿宋_GB2312" w:hAnsi="仿宋_GB2312" w:eastAsia="仿宋_GB2312" w:cs="仿宋_GB2312"/>
          <w:b w:val="0"/>
          <w:bCs w:val="0"/>
          <w:spacing w:val="5"/>
          <w:position w:val="-2"/>
          <w:sz w:val="32"/>
          <w:szCs w:val="32"/>
        </w:rPr>
        <w:t>万元，占10.</w:t>
      </w:r>
      <w:r>
        <w:rPr>
          <w:rFonts w:hint="eastAsia" w:ascii="仿宋_GB2312" w:hAnsi="仿宋_GB2312" w:eastAsia="仿宋_GB2312" w:cs="仿宋_GB2312"/>
          <w:b w:val="0"/>
          <w:bCs w:val="0"/>
          <w:spacing w:val="5"/>
          <w:position w:val="-2"/>
          <w:sz w:val="32"/>
          <w:szCs w:val="32"/>
          <w:lang w:val="en-US" w:eastAsia="zh-CN"/>
        </w:rPr>
        <w:t>1</w:t>
      </w:r>
      <w:r>
        <w:rPr>
          <w:rFonts w:hint="eastAsia" w:ascii="仿宋_GB2312" w:hAnsi="仿宋_GB2312" w:eastAsia="仿宋_GB2312" w:cs="仿宋_GB2312"/>
          <w:b w:val="0"/>
          <w:bCs w:val="0"/>
          <w:spacing w:val="5"/>
          <w:position w:val="-2"/>
          <w:sz w:val="32"/>
          <w:szCs w:val="32"/>
        </w:rPr>
        <w:t>%；卫生健康支出支出</w:t>
      </w:r>
      <w:r>
        <w:rPr>
          <w:rFonts w:hint="eastAsia" w:ascii="仿宋_GB2312" w:hAnsi="仿宋_GB2312" w:eastAsia="仿宋_GB2312" w:cs="仿宋_GB2312"/>
          <w:b w:val="0"/>
          <w:bCs w:val="0"/>
          <w:spacing w:val="5"/>
          <w:position w:val="-2"/>
          <w:sz w:val="32"/>
          <w:szCs w:val="32"/>
          <w:lang w:val="en-US" w:eastAsia="zh-CN"/>
        </w:rPr>
        <w:t>115.74</w:t>
      </w:r>
      <w:r>
        <w:rPr>
          <w:rFonts w:hint="eastAsia" w:ascii="仿宋_GB2312" w:hAnsi="仿宋_GB2312" w:eastAsia="仿宋_GB2312" w:cs="仿宋_GB2312"/>
          <w:b w:val="0"/>
          <w:bCs w:val="0"/>
          <w:spacing w:val="5"/>
          <w:position w:val="-2"/>
          <w:sz w:val="32"/>
          <w:szCs w:val="32"/>
        </w:rPr>
        <w:t>万元，占4.1</w:t>
      </w:r>
      <w:r>
        <w:rPr>
          <w:rFonts w:hint="eastAsia" w:ascii="仿宋_GB2312" w:hAnsi="仿宋_GB2312" w:eastAsia="仿宋_GB2312" w:cs="仿宋_GB2312"/>
          <w:b w:val="0"/>
          <w:bCs w:val="0"/>
          <w:spacing w:val="5"/>
          <w:position w:val="-2"/>
          <w:sz w:val="32"/>
          <w:szCs w:val="32"/>
          <w:lang w:val="en-US" w:eastAsia="zh-CN"/>
        </w:rPr>
        <w:t>6</w:t>
      </w:r>
      <w:r>
        <w:rPr>
          <w:rFonts w:hint="eastAsia" w:ascii="仿宋_GB2312" w:hAnsi="仿宋_GB2312" w:eastAsia="仿宋_GB2312" w:cs="仿宋_GB2312"/>
          <w:b w:val="0"/>
          <w:bCs w:val="0"/>
          <w:spacing w:val="5"/>
          <w:position w:val="-2"/>
          <w:sz w:val="32"/>
          <w:szCs w:val="32"/>
        </w:rPr>
        <w:t>%；住房保障支出</w:t>
      </w:r>
      <w:r>
        <w:rPr>
          <w:rFonts w:hint="eastAsia" w:ascii="仿宋_GB2312" w:hAnsi="仿宋_GB2312" w:eastAsia="仿宋_GB2312" w:cs="仿宋_GB2312"/>
          <w:b w:val="0"/>
          <w:bCs w:val="0"/>
          <w:spacing w:val="5"/>
          <w:position w:val="-2"/>
          <w:sz w:val="32"/>
          <w:szCs w:val="32"/>
          <w:lang w:val="en-US" w:eastAsia="zh-CN"/>
        </w:rPr>
        <w:t>166.17</w:t>
      </w:r>
      <w:r>
        <w:rPr>
          <w:rFonts w:hint="eastAsia" w:ascii="仿宋_GB2312" w:hAnsi="仿宋_GB2312" w:eastAsia="仿宋_GB2312" w:cs="仿宋_GB2312"/>
          <w:b w:val="0"/>
          <w:bCs w:val="0"/>
          <w:spacing w:val="5"/>
          <w:position w:val="-2"/>
          <w:sz w:val="32"/>
          <w:szCs w:val="32"/>
        </w:rPr>
        <w:t>万元，占</w:t>
      </w:r>
      <w:r>
        <w:rPr>
          <w:rFonts w:hint="eastAsia" w:ascii="仿宋_GB2312" w:hAnsi="仿宋_GB2312" w:eastAsia="仿宋_GB2312" w:cs="仿宋_GB2312"/>
          <w:b w:val="0"/>
          <w:bCs w:val="0"/>
          <w:spacing w:val="5"/>
          <w:position w:val="-2"/>
          <w:sz w:val="32"/>
          <w:szCs w:val="32"/>
          <w:lang w:val="en-US" w:eastAsia="zh-CN"/>
        </w:rPr>
        <w:t>5.87</w:t>
      </w:r>
      <w:r>
        <w:rPr>
          <w:rFonts w:hint="eastAsia" w:ascii="仿宋_GB2312" w:hAnsi="仿宋_GB2312" w:eastAsia="仿宋_GB2312" w:cs="仿宋_GB2312"/>
          <w:b w:val="0"/>
          <w:bCs w:val="0"/>
          <w:spacing w:val="5"/>
          <w:position w:val="-2"/>
          <w:sz w:val="32"/>
          <w:szCs w:val="32"/>
        </w:rPr>
        <w:t>%。</w:t>
      </w:r>
    </w:p>
    <w:p w14:paraId="1EFAD08D">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（三） 一般公共预算财政拨款支出决算具体情况</w:t>
      </w:r>
    </w:p>
    <w:p w14:paraId="41935487">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 xml:space="preserve">2023 年度一般公共预算财政拨款支出年初预算为  万 </w:t>
      </w:r>
      <w:r>
        <w:rPr>
          <w:rFonts w:hint="eastAsia" w:ascii="仿宋_GB2312" w:hAnsi="仿宋_GB2312" w:eastAsia="仿宋_GB2312" w:cs="仿宋_GB2312"/>
          <w:b w:val="0"/>
          <w:bCs w:val="0"/>
          <w:spacing w:val="5"/>
          <w:position w:val="-2"/>
          <w:sz w:val="32"/>
          <w:szCs w:val="32"/>
          <w:lang w:val="en-US" w:eastAsia="zh-CN"/>
        </w:rPr>
        <w:t>2811.82</w:t>
      </w:r>
      <w:r>
        <w:rPr>
          <w:rFonts w:hint="eastAsia" w:ascii="仿宋_GB2312" w:hAnsi="仿宋_GB2312" w:eastAsia="仿宋_GB2312" w:cs="仿宋_GB2312"/>
          <w:b w:val="0"/>
          <w:bCs w:val="0"/>
          <w:spacing w:val="5"/>
          <w:position w:val="-2"/>
          <w:sz w:val="32"/>
          <w:szCs w:val="32"/>
        </w:rPr>
        <w:t>元，支出决算为</w:t>
      </w:r>
      <w:r>
        <w:rPr>
          <w:rFonts w:hint="eastAsia" w:ascii="仿宋_GB2312" w:hAnsi="仿宋_GB2312" w:eastAsia="仿宋_GB2312" w:cs="仿宋_GB2312"/>
          <w:b w:val="0"/>
          <w:bCs w:val="0"/>
          <w:spacing w:val="5"/>
          <w:position w:val="-2"/>
          <w:sz w:val="32"/>
          <w:szCs w:val="32"/>
          <w:lang w:val="en-US" w:eastAsia="zh-CN"/>
        </w:rPr>
        <w:t>2811.82</w:t>
      </w:r>
      <w:r>
        <w:rPr>
          <w:rFonts w:hint="eastAsia" w:ascii="仿宋_GB2312" w:hAnsi="仿宋_GB2312" w:eastAsia="仿宋_GB2312" w:cs="仿宋_GB2312"/>
          <w:b w:val="0"/>
          <w:bCs w:val="0"/>
          <w:spacing w:val="5"/>
          <w:position w:val="-2"/>
          <w:sz w:val="32"/>
          <w:szCs w:val="32"/>
        </w:rPr>
        <w:t>万元，完成年初预算的  100%。其中：</w:t>
      </w:r>
    </w:p>
    <w:p w14:paraId="60D6488C">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1.公共安全支出（类）司法（款）行政运行（项） 。 年初预算为</w:t>
      </w:r>
      <w:r>
        <w:rPr>
          <w:rFonts w:hint="eastAsia" w:ascii="仿宋_GB2312" w:hAnsi="仿宋_GB2312" w:eastAsia="仿宋_GB2312" w:cs="仿宋_GB2312"/>
          <w:b w:val="0"/>
          <w:bCs w:val="0"/>
          <w:spacing w:val="5"/>
          <w:position w:val="-2"/>
          <w:sz w:val="32"/>
          <w:szCs w:val="32"/>
          <w:lang w:val="en-US" w:eastAsia="zh-CN"/>
        </w:rPr>
        <w:t>2245.79</w:t>
      </w:r>
      <w:r>
        <w:rPr>
          <w:rFonts w:hint="eastAsia" w:ascii="仿宋_GB2312" w:hAnsi="仿宋_GB2312" w:eastAsia="仿宋_GB2312" w:cs="仿宋_GB2312"/>
          <w:b w:val="0"/>
          <w:bCs w:val="0"/>
          <w:spacing w:val="5"/>
          <w:position w:val="-2"/>
          <w:sz w:val="32"/>
          <w:szCs w:val="32"/>
        </w:rPr>
        <w:t>万元， 支出决算为</w:t>
      </w:r>
      <w:r>
        <w:rPr>
          <w:rFonts w:hint="eastAsia" w:ascii="仿宋_GB2312" w:hAnsi="仿宋_GB2312" w:eastAsia="仿宋_GB2312" w:cs="仿宋_GB2312"/>
          <w:b w:val="0"/>
          <w:bCs w:val="0"/>
          <w:spacing w:val="5"/>
          <w:position w:val="-2"/>
          <w:sz w:val="32"/>
          <w:szCs w:val="32"/>
          <w:lang w:val="en-US" w:eastAsia="zh-CN"/>
        </w:rPr>
        <w:t>2245.79</w:t>
      </w:r>
      <w:r>
        <w:rPr>
          <w:rFonts w:hint="eastAsia" w:ascii="仿宋_GB2312" w:hAnsi="仿宋_GB2312" w:eastAsia="仿宋_GB2312" w:cs="仿宋_GB2312"/>
          <w:b w:val="0"/>
          <w:bCs w:val="0"/>
          <w:spacing w:val="5"/>
          <w:position w:val="-2"/>
          <w:sz w:val="32"/>
          <w:szCs w:val="32"/>
        </w:rPr>
        <w:t>万元， 完成年初预算的100%。</w:t>
      </w:r>
    </w:p>
    <w:p w14:paraId="76C44C04">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2. 公共安全支出（类）司法（款）社区矫正（项）。 年初预算为1.21万元，支出决算为1.21万元，完成年初预算的100%。</w:t>
      </w:r>
    </w:p>
    <w:p w14:paraId="72BB4A31">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3. 公共安全支出（类）司法（款）法治建设（项）。年初预算为109.2万元，支出决算为109.2万元，完成年初预算的100%。</w:t>
      </w:r>
    </w:p>
    <w:p w14:paraId="0E9B6514">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4. 社会保障和就业支出（类）行政事业单位养老支出（款）行政单位离退休（项）。年初预算为26.65万元，支出决算为26.65万元，完成年初预算的100%。</w:t>
      </w:r>
    </w:p>
    <w:p w14:paraId="257B4318">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5. 社会保障和就业支出（类）行政事业单位养老支出（款）机关事业单位基本养老保险缴费支出（项）。年初预算为</w:t>
      </w:r>
      <w:r>
        <w:rPr>
          <w:rFonts w:hint="eastAsia" w:ascii="仿宋_GB2312" w:hAnsi="仿宋_GB2312" w:eastAsia="仿宋_GB2312" w:cs="仿宋_GB2312"/>
          <w:b w:val="0"/>
          <w:bCs w:val="0"/>
          <w:spacing w:val="5"/>
          <w:position w:val="-2"/>
          <w:sz w:val="32"/>
          <w:szCs w:val="32"/>
          <w:lang w:val="en-US" w:eastAsia="zh-CN"/>
        </w:rPr>
        <w:t>254.3</w:t>
      </w:r>
      <w:r>
        <w:rPr>
          <w:rFonts w:hint="eastAsia" w:ascii="仿宋_GB2312" w:hAnsi="仿宋_GB2312" w:eastAsia="仿宋_GB2312" w:cs="仿宋_GB2312"/>
          <w:b w:val="0"/>
          <w:bCs w:val="0"/>
          <w:spacing w:val="5"/>
          <w:position w:val="-2"/>
          <w:sz w:val="32"/>
          <w:szCs w:val="32"/>
        </w:rPr>
        <w:t>万元，支出决算为</w:t>
      </w:r>
      <w:r>
        <w:rPr>
          <w:rFonts w:hint="eastAsia" w:ascii="仿宋_GB2312" w:hAnsi="仿宋_GB2312" w:eastAsia="仿宋_GB2312" w:cs="仿宋_GB2312"/>
          <w:b w:val="0"/>
          <w:bCs w:val="0"/>
          <w:spacing w:val="5"/>
          <w:position w:val="-2"/>
          <w:sz w:val="32"/>
          <w:szCs w:val="32"/>
          <w:lang w:val="en-US" w:eastAsia="zh-CN"/>
        </w:rPr>
        <w:t>254.3</w:t>
      </w:r>
      <w:r>
        <w:rPr>
          <w:rFonts w:hint="eastAsia" w:ascii="仿宋_GB2312" w:hAnsi="仿宋_GB2312" w:eastAsia="仿宋_GB2312" w:cs="仿宋_GB2312"/>
          <w:b w:val="0"/>
          <w:bCs w:val="0"/>
          <w:spacing w:val="5"/>
          <w:position w:val="-2"/>
          <w:sz w:val="32"/>
          <w:szCs w:val="32"/>
        </w:rPr>
        <w:t>万元，完成年初预算的100%。</w:t>
      </w:r>
    </w:p>
    <w:p w14:paraId="65B66358">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6. 社会保障和就业支出（类）行政事业单位养老支出（款）机关事业单位职业年金缴费支出（项）。年初预算为</w:t>
      </w:r>
      <w:r>
        <w:rPr>
          <w:rFonts w:hint="eastAsia" w:ascii="仿宋_GB2312" w:hAnsi="仿宋_GB2312" w:eastAsia="仿宋_GB2312" w:cs="仿宋_GB2312"/>
          <w:b w:val="0"/>
          <w:bCs w:val="0"/>
          <w:spacing w:val="5"/>
          <w:position w:val="-2"/>
          <w:sz w:val="32"/>
          <w:szCs w:val="32"/>
          <w:lang w:val="en-US" w:eastAsia="zh-CN"/>
        </w:rPr>
        <w:t>3.17</w:t>
      </w:r>
      <w:r>
        <w:rPr>
          <w:rFonts w:hint="eastAsia" w:ascii="仿宋_GB2312" w:hAnsi="仿宋_GB2312" w:eastAsia="仿宋_GB2312" w:cs="仿宋_GB2312"/>
          <w:b w:val="0"/>
          <w:bCs w:val="0"/>
          <w:spacing w:val="5"/>
          <w:position w:val="-2"/>
          <w:sz w:val="32"/>
          <w:szCs w:val="32"/>
        </w:rPr>
        <w:t>万元，支出决算为3.</w:t>
      </w:r>
      <w:r>
        <w:rPr>
          <w:rFonts w:hint="eastAsia" w:ascii="仿宋_GB2312" w:hAnsi="仿宋_GB2312" w:eastAsia="仿宋_GB2312" w:cs="仿宋_GB2312"/>
          <w:b w:val="0"/>
          <w:bCs w:val="0"/>
          <w:spacing w:val="5"/>
          <w:position w:val="-2"/>
          <w:sz w:val="32"/>
          <w:szCs w:val="32"/>
          <w:lang w:val="en-US" w:eastAsia="zh-CN"/>
        </w:rPr>
        <w:t>17</w:t>
      </w:r>
      <w:r>
        <w:rPr>
          <w:rFonts w:hint="eastAsia" w:ascii="仿宋_GB2312" w:hAnsi="仿宋_GB2312" w:eastAsia="仿宋_GB2312" w:cs="仿宋_GB2312"/>
          <w:b w:val="0"/>
          <w:bCs w:val="0"/>
          <w:spacing w:val="5"/>
          <w:position w:val="-2"/>
          <w:sz w:val="32"/>
          <w:szCs w:val="32"/>
        </w:rPr>
        <w:t>万元，完成年初预算的100%。</w:t>
      </w:r>
    </w:p>
    <w:p w14:paraId="2B73A045">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7. 卫生健康支出（类）行政事业单位医疗（款）行政单位医疗（项）。年初预算为</w:t>
      </w:r>
      <w:r>
        <w:rPr>
          <w:rFonts w:hint="eastAsia" w:ascii="仿宋_GB2312" w:hAnsi="仿宋_GB2312" w:eastAsia="仿宋_GB2312" w:cs="仿宋_GB2312"/>
          <w:b w:val="0"/>
          <w:bCs w:val="0"/>
          <w:spacing w:val="5"/>
          <w:position w:val="-2"/>
          <w:sz w:val="32"/>
          <w:szCs w:val="32"/>
          <w:lang w:val="en-US" w:eastAsia="zh-CN"/>
        </w:rPr>
        <w:t>115.74</w:t>
      </w:r>
      <w:r>
        <w:rPr>
          <w:rFonts w:hint="eastAsia" w:ascii="仿宋_GB2312" w:hAnsi="仿宋_GB2312" w:eastAsia="仿宋_GB2312" w:cs="仿宋_GB2312"/>
          <w:b w:val="0"/>
          <w:bCs w:val="0"/>
          <w:spacing w:val="5"/>
          <w:position w:val="-2"/>
          <w:sz w:val="32"/>
          <w:szCs w:val="32"/>
        </w:rPr>
        <w:t>万元，支出决算为</w:t>
      </w:r>
      <w:r>
        <w:rPr>
          <w:rFonts w:hint="eastAsia" w:ascii="仿宋_GB2312" w:hAnsi="仿宋_GB2312" w:eastAsia="仿宋_GB2312" w:cs="仿宋_GB2312"/>
          <w:b w:val="0"/>
          <w:bCs w:val="0"/>
          <w:spacing w:val="5"/>
          <w:position w:val="-2"/>
          <w:sz w:val="32"/>
          <w:szCs w:val="32"/>
          <w:lang w:val="en-US" w:eastAsia="zh-CN"/>
        </w:rPr>
        <w:t>115.74</w:t>
      </w:r>
      <w:r>
        <w:rPr>
          <w:rFonts w:hint="eastAsia" w:ascii="仿宋_GB2312" w:hAnsi="仿宋_GB2312" w:eastAsia="仿宋_GB2312" w:cs="仿宋_GB2312"/>
          <w:b w:val="0"/>
          <w:bCs w:val="0"/>
          <w:spacing w:val="5"/>
          <w:position w:val="-2"/>
          <w:sz w:val="32"/>
          <w:szCs w:val="32"/>
        </w:rPr>
        <w:t>万元，完成年初预算的100%。</w:t>
      </w:r>
    </w:p>
    <w:p w14:paraId="4E4B474C">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8. 住房保障支出（类）住房改革支出（款）住房公积金（项）。年初预算为</w:t>
      </w:r>
      <w:r>
        <w:rPr>
          <w:rFonts w:hint="eastAsia" w:ascii="仿宋_GB2312" w:hAnsi="仿宋_GB2312" w:eastAsia="仿宋_GB2312" w:cs="仿宋_GB2312"/>
          <w:b w:val="0"/>
          <w:bCs w:val="0"/>
          <w:spacing w:val="5"/>
          <w:position w:val="-2"/>
          <w:sz w:val="32"/>
          <w:szCs w:val="32"/>
          <w:lang w:val="en-US" w:eastAsia="zh-CN"/>
        </w:rPr>
        <w:t>166.17</w:t>
      </w:r>
      <w:r>
        <w:rPr>
          <w:rFonts w:hint="eastAsia" w:ascii="仿宋_GB2312" w:hAnsi="仿宋_GB2312" w:eastAsia="仿宋_GB2312" w:cs="仿宋_GB2312"/>
          <w:b w:val="0"/>
          <w:bCs w:val="0"/>
          <w:spacing w:val="5"/>
          <w:position w:val="-2"/>
          <w:sz w:val="32"/>
          <w:szCs w:val="32"/>
        </w:rPr>
        <w:t>万元，支出决算为</w:t>
      </w:r>
      <w:r>
        <w:rPr>
          <w:rFonts w:hint="eastAsia" w:ascii="仿宋_GB2312" w:hAnsi="仿宋_GB2312" w:eastAsia="仿宋_GB2312" w:cs="仿宋_GB2312"/>
          <w:b w:val="0"/>
          <w:bCs w:val="0"/>
          <w:spacing w:val="5"/>
          <w:position w:val="-2"/>
          <w:sz w:val="32"/>
          <w:szCs w:val="32"/>
          <w:lang w:val="en-US" w:eastAsia="zh-CN"/>
        </w:rPr>
        <w:t>166.17</w:t>
      </w:r>
      <w:r>
        <w:rPr>
          <w:rFonts w:hint="eastAsia" w:ascii="仿宋_GB2312" w:hAnsi="仿宋_GB2312" w:eastAsia="仿宋_GB2312" w:cs="仿宋_GB2312"/>
          <w:b w:val="0"/>
          <w:bCs w:val="0"/>
          <w:spacing w:val="5"/>
          <w:position w:val="-2"/>
          <w:sz w:val="32"/>
          <w:szCs w:val="32"/>
        </w:rPr>
        <w:t>万元，完成年初预算的100%。</w:t>
      </w:r>
    </w:p>
    <w:p w14:paraId="5A8F8388">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3" w:firstLineChars="200"/>
        <w:jc w:val="both"/>
        <w:textAlignment w:val="baseline"/>
        <w:outlineLvl w:val="0"/>
        <w:rPr>
          <w:rFonts w:hint="eastAsia" w:ascii="仿宋_GB2312" w:hAnsi="仿宋_GB2312" w:eastAsia="仿宋_GB2312" w:cs="仿宋_GB2312"/>
          <w:b/>
          <w:bCs/>
          <w:spacing w:val="5"/>
          <w:position w:val="-2"/>
          <w:sz w:val="32"/>
          <w:szCs w:val="32"/>
        </w:rPr>
      </w:pPr>
      <w:r>
        <w:rPr>
          <w:rFonts w:hint="eastAsia" w:ascii="仿宋_GB2312" w:hAnsi="仿宋_GB2312" w:eastAsia="仿宋_GB2312" w:cs="仿宋_GB2312"/>
          <w:b/>
          <w:bCs/>
          <w:spacing w:val="5"/>
          <w:position w:val="-2"/>
          <w:sz w:val="32"/>
          <w:szCs w:val="32"/>
        </w:rPr>
        <w:t>六、一般公共预算财政拨款基本支出决算情况说明</w:t>
      </w:r>
    </w:p>
    <w:p w14:paraId="1DD52C15">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2023年度一般公共预算财政拨款基本支出</w:t>
      </w:r>
      <w:r>
        <w:rPr>
          <w:rFonts w:hint="eastAsia" w:ascii="仿宋_GB2312" w:hAnsi="仿宋_GB2312" w:eastAsia="仿宋_GB2312" w:cs="仿宋_GB2312"/>
          <w:b w:val="0"/>
          <w:bCs w:val="0"/>
          <w:spacing w:val="5"/>
          <w:position w:val="-2"/>
          <w:sz w:val="32"/>
          <w:szCs w:val="32"/>
          <w:lang w:val="en-US" w:eastAsia="zh-CN"/>
        </w:rPr>
        <w:t>2702.62</w:t>
      </w:r>
      <w:r>
        <w:rPr>
          <w:rFonts w:hint="eastAsia" w:ascii="仿宋_GB2312" w:hAnsi="仿宋_GB2312" w:eastAsia="仿宋_GB2312" w:cs="仿宋_GB2312"/>
          <w:b w:val="0"/>
          <w:bCs w:val="0"/>
          <w:spacing w:val="5"/>
          <w:position w:val="-2"/>
          <w:sz w:val="32"/>
          <w:szCs w:val="32"/>
        </w:rPr>
        <w:t>万元，其中：</w:t>
      </w:r>
    </w:p>
    <w:p w14:paraId="073F75D9">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人员经费</w:t>
      </w:r>
      <w:r>
        <w:rPr>
          <w:rFonts w:hint="eastAsia" w:ascii="仿宋_GB2312" w:hAnsi="仿宋_GB2312" w:eastAsia="仿宋_GB2312" w:cs="仿宋_GB2312"/>
          <w:b w:val="0"/>
          <w:bCs w:val="0"/>
          <w:spacing w:val="5"/>
          <w:position w:val="-2"/>
          <w:sz w:val="32"/>
          <w:szCs w:val="32"/>
          <w:lang w:val="en-US" w:eastAsia="zh-CN"/>
        </w:rPr>
        <w:t>2296.24</w:t>
      </w:r>
      <w:r>
        <w:rPr>
          <w:rFonts w:hint="eastAsia" w:ascii="仿宋_GB2312" w:hAnsi="仿宋_GB2312" w:eastAsia="仿宋_GB2312" w:cs="仿宋_GB2312"/>
          <w:b w:val="0"/>
          <w:bCs w:val="0"/>
          <w:spacing w:val="5"/>
          <w:position w:val="-2"/>
          <w:sz w:val="32"/>
          <w:szCs w:val="32"/>
        </w:rPr>
        <w:t>万元，主要包括：基本工资</w:t>
      </w:r>
      <w:r>
        <w:rPr>
          <w:rFonts w:hint="eastAsia" w:ascii="仿宋_GB2312" w:hAnsi="仿宋_GB2312" w:eastAsia="仿宋_GB2312" w:cs="仿宋_GB2312"/>
          <w:b w:val="0"/>
          <w:bCs w:val="0"/>
          <w:spacing w:val="5"/>
          <w:position w:val="-2"/>
          <w:sz w:val="32"/>
          <w:szCs w:val="32"/>
          <w:lang w:val="en-US" w:eastAsia="zh-CN"/>
        </w:rPr>
        <w:t>780.69</w:t>
      </w:r>
      <w:r>
        <w:rPr>
          <w:rFonts w:hint="eastAsia" w:ascii="仿宋_GB2312" w:hAnsi="仿宋_GB2312" w:eastAsia="仿宋_GB2312" w:cs="仿宋_GB2312"/>
          <w:b w:val="0"/>
          <w:bCs w:val="0"/>
          <w:spacing w:val="5"/>
          <w:position w:val="-2"/>
          <w:sz w:val="32"/>
          <w:szCs w:val="32"/>
        </w:rPr>
        <w:t>万元、津贴补贴</w:t>
      </w:r>
      <w:r>
        <w:rPr>
          <w:rFonts w:hint="eastAsia" w:ascii="仿宋_GB2312" w:hAnsi="仿宋_GB2312" w:eastAsia="仿宋_GB2312" w:cs="仿宋_GB2312"/>
          <w:b w:val="0"/>
          <w:bCs w:val="0"/>
          <w:spacing w:val="5"/>
          <w:position w:val="-2"/>
          <w:sz w:val="32"/>
          <w:szCs w:val="32"/>
          <w:lang w:val="en-US" w:eastAsia="zh-CN"/>
        </w:rPr>
        <w:t>436.38</w:t>
      </w:r>
      <w:r>
        <w:rPr>
          <w:rFonts w:hint="eastAsia" w:ascii="仿宋_GB2312" w:hAnsi="仿宋_GB2312" w:eastAsia="仿宋_GB2312" w:cs="仿宋_GB2312"/>
          <w:b w:val="0"/>
          <w:bCs w:val="0"/>
          <w:spacing w:val="5"/>
          <w:position w:val="-2"/>
          <w:sz w:val="32"/>
          <w:szCs w:val="32"/>
        </w:rPr>
        <w:t>万元、奖金</w:t>
      </w:r>
      <w:r>
        <w:rPr>
          <w:rFonts w:hint="eastAsia" w:ascii="仿宋_GB2312" w:hAnsi="仿宋_GB2312" w:eastAsia="仿宋_GB2312" w:cs="仿宋_GB2312"/>
          <w:b w:val="0"/>
          <w:bCs w:val="0"/>
          <w:spacing w:val="5"/>
          <w:position w:val="-2"/>
          <w:sz w:val="32"/>
          <w:szCs w:val="32"/>
          <w:lang w:val="en-US" w:eastAsia="zh-CN"/>
        </w:rPr>
        <w:t>94.83</w:t>
      </w:r>
      <w:r>
        <w:rPr>
          <w:rFonts w:hint="eastAsia" w:ascii="仿宋_GB2312" w:hAnsi="仿宋_GB2312" w:eastAsia="仿宋_GB2312" w:cs="仿宋_GB2312"/>
          <w:b w:val="0"/>
          <w:bCs w:val="0"/>
          <w:spacing w:val="5"/>
          <w:position w:val="-2"/>
          <w:sz w:val="32"/>
          <w:szCs w:val="32"/>
        </w:rPr>
        <w:t>万元、绩效工资</w:t>
      </w:r>
      <w:r>
        <w:rPr>
          <w:rFonts w:hint="eastAsia" w:ascii="仿宋_GB2312" w:hAnsi="仿宋_GB2312" w:eastAsia="仿宋_GB2312" w:cs="仿宋_GB2312"/>
          <w:b w:val="0"/>
          <w:bCs w:val="0"/>
          <w:spacing w:val="5"/>
          <w:position w:val="-2"/>
          <w:sz w:val="32"/>
          <w:szCs w:val="32"/>
          <w:lang w:val="en-US" w:eastAsia="zh-CN"/>
        </w:rPr>
        <w:t>385.39</w:t>
      </w:r>
      <w:r>
        <w:rPr>
          <w:rFonts w:hint="eastAsia" w:ascii="仿宋_GB2312" w:hAnsi="仿宋_GB2312" w:eastAsia="仿宋_GB2312" w:cs="仿宋_GB2312"/>
          <w:b w:val="0"/>
          <w:bCs w:val="0"/>
          <w:spacing w:val="5"/>
          <w:position w:val="-2"/>
          <w:sz w:val="32"/>
          <w:szCs w:val="32"/>
        </w:rPr>
        <w:t>万元、机关事业单位基本养老保险缴费</w:t>
      </w:r>
      <w:r>
        <w:rPr>
          <w:rFonts w:hint="eastAsia" w:ascii="仿宋_GB2312" w:hAnsi="仿宋_GB2312" w:eastAsia="仿宋_GB2312" w:cs="仿宋_GB2312"/>
          <w:b w:val="0"/>
          <w:bCs w:val="0"/>
          <w:spacing w:val="5"/>
          <w:position w:val="-2"/>
          <w:sz w:val="32"/>
          <w:szCs w:val="32"/>
          <w:lang w:val="en-US" w:eastAsia="zh-CN"/>
        </w:rPr>
        <w:t>254.3</w:t>
      </w:r>
      <w:r>
        <w:rPr>
          <w:rFonts w:hint="eastAsia" w:ascii="仿宋_GB2312" w:hAnsi="仿宋_GB2312" w:eastAsia="仿宋_GB2312" w:cs="仿宋_GB2312"/>
          <w:b w:val="0"/>
          <w:bCs w:val="0"/>
          <w:spacing w:val="5"/>
          <w:position w:val="-2"/>
          <w:sz w:val="32"/>
          <w:szCs w:val="32"/>
        </w:rPr>
        <w:t>万元、职业年金缴费</w:t>
      </w:r>
      <w:r>
        <w:rPr>
          <w:rFonts w:hint="eastAsia" w:ascii="仿宋_GB2312" w:hAnsi="仿宋_GB2312" w:eastAsia="仿宋_GB2312" w:cs="仿宋_GB2312"/>
          <w:b w:val="0"/>
          <w:bCs w:val="0"/>
          <w:spacing w:val="5"/>
          <w:position w:val="-2"/>
          <w:sz w:val="32"/>
          <w:szCs w:val="32"/>
          <w:lang w:val="en-US" w:eastAsia="zh-CN"/>
        </w:rPr>
        <w:t>3.17</w:t>
      </w:r>
      <w:r>
        <w:rPr>
          <w:rFonts w:hint="eastAsia" w:ascii="仿宋_GB2312" w:hAnsi="仿宋_GB2312" w:eastAsia="仿宋_GB2312" w:cs="仿宋_GB2312"/>
          <w:b w:val="0"/>
          <w:bCs w:val="0"/>
          <w:spacing w:val="5"/>
          <w:position w:val="-2"/>
          <w:sz w:val="32"/>
          <w:szCs w:val="32"/>
        </w:rPr>
        <w:t>万元、职工基本医疗保险缴费</w:t>
      </w:r>
      <w:r>
        <w:rPr>
          <w:rFonts w:hint="eastAsia" w:ascii="仿宋_GB2312" w:hAnsi="仿宋_GB2312" w:eastAsia="仿宋_GB2312" w:cs="仿宋_GB2312"/>
          <w:b w:val="0"/>
          <w:bCs w:val="0"/>
          <w:spacing w:val="5"/>
          <w:position w:val="-2"/>
          <w:sz w:val="32"/>
          <w:szCs w:val="32"/>
          <w:lang w:val="en-US" w:eastAsia="zh-CN"/>
        </w:rPr>
        <w:t>114.16</w:t>
      </w:r>
      <w:r>
        <w:rPr>
          <w:rFonts w:hint="eastAsia" w:ascii="仿宋_GB2312" w:hAnsi="仿宋_GB2312" w:eastAsia="仿宋_GB2312" w:cs="仿宋_GB2312"/>
          <w:b w:val="0"/>
          <w:bCs w:val="0"/>
          <w:spacing w:val="5"/>
          <w:position w:val="-2"/>
          <w:sz w:val="32"/>
          <w:szCs w:val="32"/>
        </w:rPr>
        <w:t>万元、其他社会保障缴费</w:t>
      </w:r>
      <w:r>
        <w:rPr>
          <w:rFonts w:hint="eastAsia" w:ascii="仿宋_GB2312" w:hAnsi="仿宋_GB2312" w:eastAsia="仿宋_GB2312" w:cs="仿宋_GB2312"/>
          <w:b w:val="0"/>
          <w:bCs w:val="0"/>
          <w:spacing w:val="5"/>
          <w:position w:val="-2"/>
          <w:sz w:val="32"/>
          <w:szCs w:val="32"/>
          <w:lang w:val="en-US" w:eastAsia="zh-CN"/>
        </w:rPr>
        <w:t>1.58</w:t>
      </w:r>
      <w:r>
        <w:rPr>
          <w:rFonts w:hint="eastAsia" w:ascii="仿宋_GB2312" w:hAnsi="仿宋_GB2312" w:eastAsia="仿宋_GB2312" w:cs="仿宋_GB2312"/>
          <w:b w:val="0"/>
          <w:bCs w:val="0"/>
          <w:spacing w:val="5"/>
          <w:position w:val="-2"/>
          <w:sz w:val="32"/>
          <w:szCs w:val="32"/>
        </w:rPr>
        <w:t>万元、住房公积金</w:t>
      </w:r>
      <w:r>
        <w:rPr>
          <w:rFonts w:hint="eastAsia" w:ascii="仿宋_GB2312" w:hAnsi="仿宋_GB2312" w:eastAsia="仿宋_GB2312" w:cs="仿宋_GB2312"/>
          <w:b w:val="0"/>
          <w:bCs w:val="0"/>
          <w:spacing w:val="5"/>
          <w:position w:val="-2"/>
          <w:sz w:val="32"/>
          <w:szCs w:val="32"/>
          <w:lang w:val="en-US" w:eastAsia="zh-CN"/>
        </w:rPr>
        <w:t>166.17</w:t>
      </w:r>
      <w:r>
        <w:rPr>
          <w:rFonts w:hint="eastAsia" w:ascii="仿宋_GB2312" w:hAnsi="仿宋_GB2312" w:eastAsia="仿宋_GB2312" w:cs="仿宋_GB2312"/>
          <w:b w:val="0"/>
          <w:bCs w:val="0"/>
          <w:spacing w:val="5"/>
          <w:position w:val="-2"/>
          <w:sz w:val="32"/>
          <w:szCs w:val="32"/>
        </w:rPr>
        <w:t>万元、退休费26.65万元、抚恤金24.69万元、生活补助8.23万元。</w:t>
      </w:r>
    </w:p>
    <w:p w14:paraId="7B0C4988">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公用经费</w:t>
      </w:r>
      <w:r>
        <w:rPr>
          <w:rFonts w:hint="eastAsia" w:ascii="仿宋_GB2312" w:hAnsi="仿宋_GB2312" w:eastAsia="仿宋_GB2312" w:cs="仿宋_GB2312"/>
          <w:b w:val="0"/>
          <w:bCs w:val="0"/>
          <w:spacing w:val="5"/>
          <w:position w:val="-2"/>
          <w:sz w:val="32"/>
          <w:szCs w:val="32"/>
          <w:lang w:val="en-US" w:eastAsia="zh-CN"/>
        </w:rPr>
        <w:t>406.38</w:t>
      </w:r>
      <w:r>
        <w:rPr>
          <w:rFonts w:hint="eastAsia" w:ascii="仿宋_GB2312" w:hAnsi="仿宋_GB2312" w:eastAsia="仿宋_GB2312" w:cs="仿宋_GB2312"/>
          <w:b w:val="0"/>
          <w:bCs w:val="0"/>
          <w:spacing w:val="5"/>
          <w:position w:val="-2"/>
          <w:sz w:val="32"/>
          <w:szCs w:val="32"/>
        </w:rPr>
        <w:t>万元，主要包括：办公费</w:t>
      </w:r>
      <w:r>
        <w:rPr>
          <w:rFonts w:hint="eastAsia" w:ascii="仿宋_GB2312" w:hAnsi="仿宋_GB2312" w:eastAsia="仿宋_GB2312" w:cs="仿宋_GB2312"/>
          <w:b w:val="0"/>
          <w:bCs w:val="0"/>
          <w:spacing w:val="5"/>
          <w:position w:val="-2"/>
          <w:sz w:val="32"/>
          <w:szCs w:val="32"/>
          <w:lang w:val="en-US" w:eastAsia="zh-CN"/>
        </w:rPr>
        <w:t>171.59</w:t>
      </w:r>
      <w:r>
        <w:rPr>
          <w:rFonts w:hint="eastAsia" w:ascii="仿宋_GB2312" w:hAnsi="仿宋_GB2312" w:eastAsia="仿宋_GB2312" w:cs="仿宋_GB2312"/>
          <w:b w:val="0"/>
          <w:bCs w:val="0"/>
          <w:spacing w:val="5"/>
          <w:position w:val="-2"/>
          <w:sz w:val="32"/>
          <w:szCs w:val="32"/>
        </w:rPr>
        <w:t>万元、印刷费5.28万元、水费0.7万元、电费4.12万元、邮电费0.24万元、取暖费5.81万元、物业管理费19.2万元、差旅费13.04万元、维修（护）费36.9万元、 培训费14.3万元、劳务费6.38万元、委托业务费80万元、工会经费16</w:t>
      </w:r>
      <w:r>
        <w:rPr>
          <w:rFonts w:hint="eastAsia" w:ascii="仿宋_GB2312" w:hAnsi="仿宋_GB2312" w:eastAsia="仿宋_GB2312" w:cs="仿宋_GB2312"/>
          <w:b w:val="0"/>
          <w:bCs w:val="0"/>
          <w:spacing w:val="5"/>
          <w:position w:val="-2"/>
          <w:sz w:val="32"/>
          <w:szCs w:val="32"/>
          <w:lang w:val="en-US" w:eastAsia="zh-CN"/>
        </w:rPr>
        <w:t>.75</w:t>
      </w:r>
      <w:r>
        <w:rPr>
          <w:rFonts w:hint="eastAsia" w:ascii="仿宋_GB2312" w:hAnsi="仿宋_GB2312" w:eastAsia="仿宋_GB2312" w:cs="仿宋_GB2312"/>
          <w:b w:val="0"/>
          <w:bCs w:val="0"/>
          <w:spacing w:val="5"/>
          <w:position w:val="-2"/>
          <w:sz w:val="32"/>
          <w:szCs w:val="32"/>
        </w:rPr>
        <w:t>万元、其他交通费用19.99万元、办公设备购置7.9万元、专用设备购置4.1万元。</w:t>
      </w:r>
    </w:p>
    <w:p w14:paraId="02092A29">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3" w:firstLineChars="200"/>
        <w:jc w:val="both"/>
        <w:textAlignment w:val="baseline"/>
        <w:outlineLvl w:val="0"/>
        <w:rPr>
          <w:rFonts w:hint="eastAsia" w:ascii="仿宋_GB2312" w:hAnsi="仿宋_GB2312" w:eastAsia="仿宋_GB2312" w:cs="仿宋_GB2312"/>
          <w:b/>
          <w:bCs/>
          <w:spacing w:val="5"/>
          <w:position w:val="-2"/>
          <w:sz w:val="32"/>
          <w:szCs w:val="32"/>
        </w:rPr>
      </w:pPr>
      <w:r>
        <w:rPr>
          <w:rFonts w:hint="eastAsia" w:ascii="仿宋_GB2312" w:hAnsi="仿宋_GB2312" w:eastAsia="仿宋_GB2312" w:cs="仿宋_GB2312"/>
          <w:b/>
          <w:bCs/>
          <w:spacing w:val="5"/>
          <w:position w:val="-2"/>
          <w:sz w:val="32"/>
          <w:szCs w:val="32"/>
        </w:rPr>
        <w:t>七、政府性基金预算财政拨款收入支出决算情况说明</w:t>
      </w:r>
    </w:p>
    <w:p w14:paraId="371DDF77">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2023年度政府性基金预算财政拨款年初结转和结余0万元；本年收入0万元，本年支出0万元， 比上年增加（减少） 0万元，增长（下降）0 %，年末结转和结余0万元。支出具体情况如下：</w:t>
      </w:r>
    </w:p>
    <w:p w14:paraId="401E85CD">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3" w:firstLineChars="200"/>
        <w:jc w:val="both"/>
        <w:textAlignment w:val="baseline"/>
        <w:outlineLvl w:val="0"/>
        <w:rPr>
          <w:rFonts w:hint="eastAsia" w:ascii="仿宋_GB2312" w:hAnsi="仿宋_GB2312" w:eastAsia="仿宋_GB2312" w:cs="仿宋_GB2312"/>
          <w:b/>
          <w:bCs/>
          <w:spacing w:val="5"/>
          <w:position w:val="-2"/>
          <w:sz w:val="32"/>
          <w:szCs w:val="32"/>
        </w:rPr>
      </w:pPr>
      <w:r>
        <w:rPr>
          <w:rFonts w:hint="eastAsia" w:ascii="仿宋_GB2312" w:hAnsi="仿宋_GB2312" w:eastAsia="仿宋_GB2312" w:cs="仿宋_GB2312"/>
          <w:b/>
          <w:bCs/>
          <w:spacing w:val="5"/>
          <w:position w:val="-2"/>
          <w:sz w:val="32"/>
          <w:szCs w:val="32"/>
        </w:rPr>
        <w:t>注：本单位没有政府性基金预算财政拨款。</w:t>
      </w:r>
    </w:p>
    <w:p w14:paraId="3B03C3E8">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3" w:firstLineChars="200"/>
        <w:jc w:val="both"/>
        <w:textAlignment w:val="baseline"/>
        <w:outlineLvl w:val="0"/>
        <w:rPr>
          <w:rFonts w:hint="eastAsia" w:ascii="仿宋_GB2312" w:hAnsi="仿宋_GB2312" w:eastAsia="仿宋_GB2312" w:cs="仿宋_GB2312"/>
          <w:b/>
          <w:bCs/>
          <w:spacing w:val="5"/>
          <w:position w:val="-2"/>
          <w:sz w:val="32"/>
          <w:szCs w:val="32"/>
        </w:rPr>
      </w:pPr>
      <w:r>
        <w:rPr>
          <w:rFonts w:hint="eastAsia" w:ascii="仿宋_GB2312" w:hAnsi="仿宋_GB2312" w:eastAsia="仿宋_GB2312" w:cs="仿宋_GB2312"/>
          <w:b/>
          <w:bCs/>
          <w:spacing w:val="5"/>
          <w:position w:val="-2"/>
          <w:sz w:val="32"/>
          <w:szCs w:val="32"/>
        </w:rPr>
        <w:t>八、国有资本经营预算财政拨款支出决算情况说明</w:t>
      </w:r>
    </w:p>
    <w:p w14:paraId="5150FFC9">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2023 年度国有资本经营预算年初结转和结余0万元。本年收入0万元，比上年增减0万元，支出具体情况如下：</w:t>
      </w:r>
    </w:p>
    <w:p w14:paraId="7F10F45B">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注：本单位没有国有资本经营预算财政拨款支出。</w:t>
      </w:r>
    </w:p>
    <w:p w14:paraId="7BB57DAA">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3" w:firstLineChars="200"/>
        <w:jc w:val="both"/>
        <w:textAlignment w:val="baseline"/>
        <w:outlineLvl w:val="0"/>
        <w:rPr>
          <w:rFonts w:hint="eastAsia" w:ascii="仿宋_GB2312" w:hAnsi="仿宋_GB2312" w:eastAsia="仿宋_GB2312" w:cs="仿宋_GB2312"/>
          <w:b/>
          <w:bCs/>
          <w:spacing w:val="5"/>
          <w:position w:val="-2"/>
          <w:sz w:val="32"/>
          <w:szCs w:val="32"/>
        </w:rPr>
      </w:pPr>
      <w:r>
        <w:rPr>
          <w:rFonts w:hint="eastAsia" w:ascii="仿宋_GB2312" w:hAnsi="仿宋_GB2312" w:eastAsia="仿宋_GB2312" w:cs="仿宋_GB2312"/>
          <w:b/>
          <w:bCs/>
          <w:spacing w:val="5"/>
          <w:position w:val="-2"/>
          <w:sz w:val="32"/>
          <w:szCs w:val="32"/>
        </w:rPr>
        <w:t>九、财政拨款“三公”经费支出决算情况说明</w:t>
      </w:r>
    </w:p>
    <w:p w14:paraId="7ABF176F">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 一）“三公”经费财政拨款支出决算总体情况说明</w:t>
      </w:r>
    </w:p>
    <w:p w14:paraId="7455F47F">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2023 年度“三公”经费财政拨款支出预算为0万元，支出决算为0万元，完成预算的0 %；较 2022年度增加（减少）0万元，增长（下降）0 %，主要原因本单位无三公经费支出。</w:t>
      </w:r>
    </w:p>
    <w:p w14:paraId="4E23019F">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（二）“三公”经费财政拨款支出决算具体情况说明</w:t>
      </w:r>
    </w:p>
    <w:p w14:paraId="1DF2DFB7">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1.因公出国（境）费预算为0万元,支出决算为0万元， 完成预算的0%；支出决算较 2022 年度增加（减少）0 万元， 增长（下降）0%，主要原因本单位无三公经费支出。</w:t>
      </w:r>
    </w:p>
    <w:p w14:paraId="228A9F6C">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2.公务用车购置及运行费预算为0万元，支出决算为0万元，完成预算的0 %；较 2022 年度增加（减少）0万元， 增长（下降）0%，主要原因主要原因本单位无三公经费支出。</w:t>
      </w:r>
    </w:p>
    <w:p w14:paraId="405DD189">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公务用车购置费支出0万元。截至 2023年 12 月 31 日公务用车保有量为0辆,公务用车购置数为0辆。本单位无公务用车和本年度未购置公务用车。</w:t>
      </w:r>
    </w:p>
    <w:p w14:paraId="63872E31">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公务用车运行维护费支出0万元，公务接待费预算为0万元，支出决算为0万元，较 2022 年度增加（减少）0万元。</w:t>
      </w:r>
    </w:p>
    <w:p w14:paraId="0250D0F0">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外事接待费支出0万元。</w:t>
      </w:r>
    </w:p>
    <w:p w14:paraId="7EB9D6AB">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3"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bCs/>
          <w:spacing w:val="5"/>
          <w:position w:val="-2"/>
          <w:sz w:val="32"/>
          <w:szCs w:val="32"/>
        </w:rPr>
        <w:t>其他国内公务接待支出0万元。本单位无公务接待批次和人数。</w:t>
      </w:r>
    </w:p>
    <w:p w14:paraId="336CB809">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3" w:firstLineChars="200"/>
        <w:jc w:val="both"/>
        <w:textAlignment w:val="baseline"/>
        <w:outlineLvl w:val="0"/>
        <w:rPr>
          <w:rFonts w:hint="eastAsia" w:ascii="仿宋_GB2312" w:hAnsi="仿宋_GB2312" w:eastAsia="仿宋_GB2312" w:cs="仿宋_GB2312"/>
          <w:b/>
          <w:bCs/>
          <w:spacing w:val="5"/>
          <w:position w:val="-2"/>
          <w:sz w:val="32"/>
          <w:szCs w:val="32"/>
        </w:rPr>
      </w:pPr>
      <w:r>
        <w:rPr>
          <w:rFonts w:hint="eastAsia" w:ascii="仿宋_GB2312" w:hAnsi="仿宋_GB2312" w:eastAsia="仿宋_GB2312" w:cs="仿宋_GB2312"/>
          <w:b/>
          <w:bCs/>
          <w:spacing w:val="5"/>
          <w:position w:val="-2"/>
          <w:sz w:val="32"/>
          <w:szCs w:val="32"/>
        </w:rPr>
        <w:t>十、关于2023年度绩效评价情况说明</w:t>
      </w:r>
    </w:p>
    <w:p w14:paraId="6ED6F497">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lang w:eastAsia="zh-CN"/>
        </w:rPr>
      </w:pPr>
      <w:r>
        <w:rPr>
          <w:rFonts w:hint="eastAsia" w:ascii="仿宋_GB2312" w:hAnsi="仿宋_GB2312" w:eastAsia="仿宋_GB2312" w:cs="仿宋_GB2312"/>
          <w:b w:val="0"/>
          <w:bCs w:val="0"/>
          <w:spacing w:val="5"/>
          <w:position w:val="-2"/>
          <w:sz w:val="32"/>
          <w:szCs w:val="32"/>
        </w:rPr>
        <w:t>（ 一）绩效评价工作开展情况。绩效评价工作开展情况 说明为：根据预算绩效管理要求，本部门组织对2023年度一般公共预算项目支出全面开展绩效自评，其中，一级项目 4 个，共涉及资金</w:t>
      </w:r>
      <w:r>
        <w:rPr>
          <w:rFonts w:hint="eastAsia" w:ascii="仿宋_GB2312" w:hAnsi="仿宋_GB2312" w:eastAsia="仿宋_GB2312" w:cs="仿宋_GB2312"/>
          <w:b w:val="0"/>
          <w:bCs w:val="0"/>
          <w:spacing w:val="5"/>
          <w:position w:val="-2"/>
          <w:sz w:val="32"/>
          <w:szCs w:val="32"/>
          <w:lang w:val="en-US" w:eastAsia="zh-CN"/>
        </w:rPr>
        <w:t>118.41</w:t>
      </w:r>
      <w:r>
        <w:rPr>
          <w:rFonts w:hint="eastAsia" w:ascii="仿宋_GB2312" w:hAnsi="仿宋_GB2312" w:eastAsia="仿宋_GB2312" w:cs="仿宋_GB2312"/>
          <w:b w:val="0"/>
          <w:bCs w:val="0"/>
          <w:spacing w:val="5"/>
          <w:position w:val="-2"/>
          <w:sz w:val="32"/>
          <w:szCs w:val="32"/>
        </w:rPr>
        <w:t>万元，占一般公共预算项目支出总额的</w:t>
      </w:r>
      <w:r>
        <w:rPr>
          <w:rFonts w:hint="eastAsia" w:ascii="仿宋_GB2312" w:hAnsi="仿宋_GB2312" w:eastAsia="仿宋_GB2312" w:cs="仿宋_GB2312"/>
          <w:b w:val="0"/>
          <w:bCs w:val="0"/>
          <w:spacing w:val="5"/>
          <w:position w:val="-2"/>
          <w:sz w:val="32"/>
          <w:szCs w:val="32"/>
          <w:lang w:val="en-US" w:eastAsia="zh-CN"/>
        </w:rPr>
        <w:t>100</w:t>
      </w:r>
      <w:r>
        <w:rPr>
          <w:rFonts w:hint="eastAsia" w:ascii="仿宋_GB2312" w:hAnsi="仿宋_GB2312" w:eastAsia="仿宋_GB2312" w:cs="仿宋_GB2312"/>
          <w:b w:val="0"/>
          <w:bCs w:val="0"/>
          <w:spacing w:val="5"/>
          <w:position w:val="-2"/>
          <w:sz w:val="32"/>
          <w:szCs w:val="32"/>
        </w:rPr>
        <w:t>%。2023年度无政府性基金预算项目开展绩效自评。2023年度无国有资本经营预算项目开展绩效自评</w:t>
      </w:r>
      <w:r>
        <w:rPr>
          <w:rFonts w:hint="eastAsia" w:ascii="仿宋_GB2312" w:hAnsi="仿宋_GB2312" w:eastAsia="仿宋_GB2312" w:cs="仿宋_GB2312"/>
          <w:b w:val="0"/>
          <w:bCs w:val="0"/>
          <w:spacing w:val="5"/>
          <w:position w:val="-2"/>
          <w:sz w:val="32"/>
          <w:szCs w:val="32"/>
          <w:lang w:eastAsia="zh-CN"/>
        </w:rPr>
        <w:t>。</w:t>
      </w:r>
    </w:p>
    <w:p w14:paraId="120D7087">
      <w:pPr>
        <w:keepNext w:val="0"/>
        <w:keepLines w:val="0"/>
        <w:pageBreakBefore w:val="0"/>
        <w:widowControl w:val="0"/>
        <w:numPr>
          <w:ilvl w:val="0"/>
          <w:numId w:val="0"/>
        </w:numPr>
        <w:kinsoku/>
        <w:wordWrap/>
        <w:overflowPunct/>
        <w:topLinePunct w:val="0"/>
        <w:autoSpaceDE/>
        <w:autoSpaceDN/>
        <w:bidi w:val="0"/>
        <w:adjustRightInd/>
        <w:snapToGrid/>
        <w:spacing w:line="365" w:lineRule="auto"/>
        <w:ind w:firstLine="660" w:firstLineChars="200"/>
        <w:jc w:val="both"/>
        <w:textAlignment w:val="auto"/>
        <w:rPr>
          <w:rFonts w:hint="default" w:ascii="仿宋" w:hAnsi="仿宋" w:eastAsia="仿宋"/>
          <w:b w:val="0"/>
          <w:bCs w:val="0"/>
          <w:color w:val="auto"/>
          <w:sz w:val="32"/>
          <w:szCs w:val="32"/>
          <w:lang w:val="en-US" w:eastAsia="zh-CN"/>
        </w:rPr>
      </w:pPr>
      <w:r>
        <w:rPr>
          <w:rFonts w:hint="eastAsia" w:ascii="仿宋_GB2312" w:hAnsi="仿宋_GB2312" w:eastAsia="仿宋_GB2312" w:cs="仿宋_GB2312"/>
          <w:b w:val="0"/>
          <w:bCs w:val="0"/>
          <w:spacing w:val="5"/>
          <w:position w:val="-2"/>
          <w:sz w:val="32"/>
          <w:szCs w:val="32"/>
        </w:rPr>
        <w:t>组织对“</w:t>
      </w:r>
      <w:r>
        <w:rPr>
          <w:rFonts w:hint="eastAsia" w:ascii="仿宋_GB2312" w:hAnsi="仿宋_GB2312" w:eastAsia="仿宋_GB2312" w:cs="仿宋_GB2312"/>
          <w:b w:val="0"/>
          <w:bCs w:val="0"/>
          <w:spacing w:val="5"/>
          <w:position w:val="-2"/>
          <w:sz w:val="32"/>
          <w:szCs w:val="32"/>
          <w:lang w:val="en-US" w:eastAsia="zh-CN"/>
        </w:rPr>
        <w:t>社区矫正</w:t>
      </w:r>
      <w:r>
        <w:rPr>
          <w:rFonts w:hint="eastAsia" w:ascii="仿宋_GB2312" w:hAnsi="仿宋_GB2312" w:eastAsia="仿宋_GB2312" w:cs="仿宋_GB2312"/>
          <w:b w:val="0"/>
          <w:bCs w:val="0"/>
          <w:spacing w:val="5"/>
          <w:position w:val="-2"/>
          <w:sz w:val="32"/>
          <w:szCs w:val="32"/>
        </w:rPr>
        <w:t>”“</w:t>
      </w:r>
      <w:r>
        <w:rPr>
          <w:rFonts w:hint="eastAsia" w:ascii="仿宋_GB2312" w:hAnsi="仿宋_GB2312" w:eastAsia="仿宋_GB2312" w:cs="仿宋_GB2312"/>
          <w:b w:val="0"/>
          <w:bCs w:val="0"/>
          <w:spacing w:val="5"/>
          <w:position w:val="-2"/>
          <w:sz w:val="32"/>
          <w:szCs w:val="32"/>
          <w:lang w:val="en-US" w:eastAsia="zh-CN"/>
        </w:rPr>
        <w:t>行政复议</w:t>
      </w:r>
      <w:r>
        <w:rPr>
          <w:rFonts w:hint="eastAsia" w:ascii="仿宋_GB2312" w:hAnsi="仿宋_GB2312" w:eastAsia="仿宋_GB2312" w:cs="仿宋_GB2312"/>
          <w:b w:val="0"/>
          <w:bCs w:val="0"/>
          <w:spacing w:val="5"/>
          <w:position w:val="-2"/>
          <w:sz w:val="32"/>
          <w:szCs w:val="32"/>
        </w:rPr>
        <w:t>”“</w:t>
      </w:r>
      <w:r>
        <w:rPr>
          <w:rFonts w:hint="eastAsia" w:ascii="仿宋_GB2312" w:hAnsi="仿宋_GB2312" w:eastAsia="仿宋_GB2312" w:cs="仿宋_GB2312"/>
          <w:b w:val="0"/>
          <w:bCs w:val="0"/>
          <w:spacing w:val="5"/>
          <w:position w:val="-2"/>
          <w:sz w:val="32"/>
          <w:szCs w:val="32"/>
          <w:lang w:val="en-US" w:eastAsia="zh-CN"/>
        </w:rPr>
        <w:t>法律顾问</w:t>
      </w:r>
      <w:r>
        <w:rPr>
          <w:rFonts w:hint="eastAsia" w:ascii="仿宋_GB2312" w:hAnsi="仿宋_GB2312" w:eastAsia="仿宋_GB2312" w:cs="仿宋_GB2312"/>
          <w:b w:val="0"/>
          <w:bCs w:val="0"/>
          <w:spacing w:val="5"/>
          <w:position w:val="-2"/>
          <w:sz w:val="32"/>
          <w:szCs w:val="32"/>
        </w:rPr>
        <w:t>”“</w:t>
      </w:r>
      <w:r>
        <w:rPr>
          <w:rFonts w:hint="eastAsia" w:ascii="仿宋_GB2312" w:hAnsi="仿宋_GB2312" w:eastAsia="仿宋_GB2312" w:cs="仿宋_GB2312"/>
          <w:b w:val="0"/>
          <w:bCs w:val="0"/>
          <w:spacing w:val="5"/>
          <w:position w:val="-2"/>
          <w:sz w:val="32"/>
          <w:szCs w:val="32"/>
          <w:lang w:val="en-US" w:eastAsia="zh-CN"/>
        </w:rPr>
        <w:t>法治阵地</w:t>
      </w:r>
      <w:r>
        <w:rPr>
          <w:rFonts w:hint="eastAsia" w:ascii="仿宋_GB2312" w:hAnsi="仿宋_GB2312" w:eastAsia="仿宋_GB2312" w:cs="仿宋_GB2312"/>
          <w:b w:val="0"/>
          <w:bCs w:val="0"/>
          <w:spacing w:val="5"/>
          <w:position w:val="-2"/>
          <w:sz w:val="32"/>
          <w:szCs w:val="32"/>
        </w:rPr>
        <w:t>”等4个项目开展了部门绩效评价，涉及一般公共预算支出</w:t>
      </w:r>
      <w:r>
        <w:rPr>
          <w:rFonts w:hint="eastAsia" w:ascii="仿宋_GB2312" w:hAnsi="仿宋_GB2312" w:eastAsia="仿宋_GB2312" w:cs="仿宋_GB2312"/>
          <w:b w:val="0"/>
          <w:bCs w:val="0"/>
          <w:spacing w:val="5"/>
          <w:position w:val="-2"/>
          <w:sz w:val="32"/>
          <w:szCs w:val="32"/>
          <w:lang w:val="en-US" w:eastAsia="zh-CN"/>
        </w:rPr>
        <w:t>118.41</w:t>
      </w:r>
      <w:r>
        <w:rPr>
          <w:rFonts w:hint="eastAsia" w:ascii="仿宋_GB2312" w:hAnsi="仿宋_GB2312" w:eastAsia="仿宋_GB2312" w:cs="仿宋_GB2312"/>
          <w:b w:val="0"/>
          <w:bCs w:val="0"/>
          <w:spacing w:val="5"/>
          <w:position w:val="-2"/>
          <w:sz w:val="32"/>
          <w:szCs w:val="32"/>
        </w:rPr>
        <w:t>万元，政府性基金预算支出0万元，国有资本经营预算支出0万元。从评价情况来看，</w:t>
      </w:r>
      <w:r>
        <w:rPr>
          <w:rFonts w:hint="eastAsia" w:ascii="仿宋" w:hAnsi="仿宋" w:eastAsia="仿宋"/>
          <w:b w:val="0"/>
          <w:bCs w:val="0"/>
          <w:color w:val="auto"/>
          <w:sz w:val="32"/>
          <w:szCs w:val="32"/>
          <w:lang w:val="en-US" w:eastAsia="zh-CN"/>
        </w:rPr>
        <w:t>预算绩效目标设立不够明确、内容不够完整,项目支出运行实践经验还欠缺,相关制度建设还有待加强。进一步规范财务核算,加强绩效管理,健全相关制度,明确部门和人员,逐步规范绩效目标编制,加强绩效跟踪监控,提升绩效评价质量,提高财政资金使用效益。</w:t>
      </w:r>
    </w:p>
    <w:p w14:paraId="1FEEDF21">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注：请对绩效评价情况进行简要说明。</w:t>
      </w:r>
    </w:p>
    <w:p w14:paraId="0E8FF6FF">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 xml:space="preserve">组织对本部门开展整体支出绩效评价，涉及一般公共预算支出 </w:t>
      </w:r>
      <w:r>
        <w:rPr>
          <w:rFonts w:hint="eastAsia" w:ascii="仿宋_GB2312" w:hAnsi="仿宋_GB2312" w:eastAsia="仿宋_GB2312" w:cs="仿宋_GB2312"/>
          <w:b w:val="0"/>
          <w:bCs w:val="0"/>
          <w:spacing w:val="5"/>
          <w:position w:val="-2"/>
          <w:sz w:val="32"/>
          <w:szCs w:val="32"/>
          <w:lang w:val="en-US" w:eastAsia="zh-CN"/>
        </w:rPr>
        <w:t>118.41</w:t>
      </w:r>
      <w:r>
        <w:rPr>
          <w:rFonts w:hint="eastAsia" w:ascii="仿宋_GB2312" w:hAnsi="仿宋_GB2312" w:eastAsia="仿宋_GB2312" w:cs="仿宋_GB2312"/>
          <w:b w:val="0"/>
          <w:bCs w:val="0"/>
          <w:spacing w:val="5"/>
          <w:position w:val="-2"/>
          <w:sz w:val="32"/>
          <w:szCs w:val="32"/>
        </w:rPr>
        <w:t>万元，政府性基金预算支出0 万元。从评价情况 来看，</w:t>
      </w:r>
    </w:p>
    <w:p w14:paraId="73BE6355">
      <w:pPr>
        <w:keepNext w:val="0"/>
        <w:keepLines w:val="0"/>
        <w:pageBreakBefore w:val="0"/>
        <w:widowControl w:val="0"/>
        <w:numPr>
          <w:ilvl w:val="0"/>
          <w:numId w:val="0"/>
        </w:numPr>
        <w:kinsoku/>
        <w:wordWrap/>
        <w:overflowPunct/>
        <w:topLinePunct w:val="0"/>
        <w:autoSpaceDE/>
        <w:autoSpaceDN/>
        <w:bidi w:val="0"/>
        <w:adjustRightInd/>
        <w:snapToGrid/>
        <w:spacing w:line="365" w:lineRule="auto"/>
        <w:ind w:firstLine="660" w:firstLineChars="200"/>
        <w:jc w:val="both"/>
        <w:textAlignment w:val="auto"/>
        <w:rPr>
          <w:rFonts w:hint="default" w:ascii="仿宋" w:hAnsi="仿宋" w:eastAsia="仿宋"/>
          <w:b w:val="0"/>
          <w:bCs w:val="0"/>
          <w:color w:val="auto"/>
          <w:sz w:val="32"/>
          <w:szCs w:val="32"/>
          <w:lang w:val="en-US" w:eastAsia="zh-CN"/>
        </w:rPr>
      </w:pPr>
      <w:r>
        <w:rPr>
          <w:rFonts w:hint="eastAsia" w:ascii="仿宋_GB2312" w:hAnsi="仿宋_GB2312" w:eastAsia="仿宋_GB2312" w:cs="仿宋_GB2312"/>
          <w:b w:val="0"/>
          <w:bCs w:val="0"/>
          <w:spacing w:val="5"/>
          <w:position w:val="-2"/>
          <w:sz w:val="32"/>
          <w:szCs w:val="32"/>
        </w:rPr>
        <w:t>从评价情况来看，</w:t>
      </w:r>
      <w:r>
        <w:rPr>
          <w:rFonts w:hint="eastAsia" w:ascii="仿宋" w:hAnsi="仿宋" w:eastAsia="仿宋"/>
          <w:b w:val="0"/>
          <w:bCs w:val="0"/>
          <w:color w:val="auto"/>
          <w:sz w:val="32"/>
          <w:szCs w:val="32"/>
          <w:lang w:val="en-US" w:eastAsia="zh-CN"/>
        </w:rPr>
        <w:t>预算绩效目标设立不够明确、内容不够完整,项目支出运行实践经验还欠缺,相关制度建设还有待加强。进一步规范财务核算,加强绩效管理,健全相关制度,明确部门和人员,逐步规范绩效目标编制,加强绩效跟踪监控,提升绩效评价质量,提高财政资金使用效益。</w:t>
      </w:r>
    </w:p>
    <w:p w14:paraId="5AD14C95">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（二） 项目绩效自评结果（如有）。除涉密敏感内容外， 省级部门原则上应予以公开。按照如下格式说明 :</w:t>
      </w:r>
    </w:p>
    <w:p w14:paraId="6CE1343B">
      <w:pPr>
        <w:keepNext w:val="0"/>
        <w:keepLines w:val="0"/>
        <w:pageBreakBefore w:val="0"/>
        <w:widowControl w:val="0"/>
        <w:numPr>
          <w:ilvl w:val="0"/>
          <w:numId w:val="0"/>
        </w:numPr>
        <w:kinsoku/>
        <w:wordWrap/>
        <w:overflowPunct/>
        <w:topLinePunct w:val="0"/>
        <w:autoSpaceDE/>
        <w:autoSpaceDN/>
        <w:bidi w:val="0"/>
        <w:adjustRightInd/>
        <w:snapToGrid/>
        <w:spacing w:line="365" w:lineRule="auto"/>
        <w:ind w:firstLine="660" w:firstLineChars="200"/>
        <w:jc w:val="both"/>
        <w:textAlignment w:val="auto"/>
        <w:rPr>
          <w:rFonts w:hint="default" w:ascii="仿宋" w:hAnsi="仿宋" w:eastAsia="仿宋"/>
          <w:b w:val="0"/>
          <w:bCs w:val="0"/>
          <w:color w:val="auto"/>
          <w:sz w:val="32"/>
          <w:szCs w:val="32"/>
          <w:lang w:val="en-US" w:eastAsia="zh-CN"/>
        </w:rPr>
      </w:pPr>
      <w:r>
        <w:rPr>
          <w:rFonts w:hint="eastAsia" w:ascii="仿宋_GB2312" w:hAnsi="仿宋_GB2312" w:eastAsia="仿宋_GB2312" w:cs="仿宋_GB2312"/>
          <w:b w:val="0"/>
          <w:bCs w:val="0"/>
          <w:spacing w:val="5"/>
          <w:position w:val="-2"/>
          <w:sz w:val="32"/>
          <w:szCs w:val="32"/>
        </w:rPr>
        <w:t>项目绩效自评情况：根据年初设定的绩效目标，项 目绩效自评得分为</w:t>
      </w:r>
      <w:r>
        <w:rPr>
          <w:rFonts w:hint="eastAsia" w:ascii="仿宋_GB2312" w:hAnsi="仿宋_GB2312" w:eastAsia="仿宋_GB2312" w:cs="仿宋_GB2312"/>
          <w:b w:val="0"/>
          <w:bCs w:val="0"/>
          <w:spacing w:val="5"/>
          <w:position w:val="-2"/>
          <w:sz w:val="32"/>
          <w:szCs w:val="32"/>
          <w:lang w:val="en-US" w:eastAsia="zh-CN"/>
        </w:rPr>
        <w:t>98</w:t>
      </w:r>
      <w:r>
        <w:rPr>
          <w:rFonts w:hint="eastAsia" w:ascii="仿宋_GB2312" w:hAnsi="仿宋_GB2312" w:eastAsia="仿宋_GB2312" w:cs="仿宋_GB2312"/>
          <w:b w:val="0"/>
          <w:bCs w:val="0"/>
          <w:spacing w:val="5"/>
          <w:position w:val="-2"/>
          <w:sz w:val="32"/>
          <w:szCs w:val="32"/>
        </w:rPr>
        <w:t>分。项目全年预算数为</w:t>
      </w:r>
      <w:r>
        <w:rPr>
          <w:rFonts w:hint="eastAsia" w:ascii="仿宋_GB2312" w:hAnsi="仿宋_GB2312" w:eastAsia="仿宋_GB2312" w:cs="仿宋_GB2312"/>
          <w:b w:val="0"/>
          <w:bCs w:val="0"/>
          <w:spacing w:val="5"/>
          <w:position w:val="-2"/>
          <w:sz w:val="32"/>
          <w:szCs w:val="32"/>
          <w:lang w:val="en-US" w:eastAsia="zh-CN"/>
        </w:rPr>
        <w:t>118.41</w:t>
      </w:r>
      <w:r>
        <w:rPr>
          <w:rFonts w:hint="eastAsia" w:ascii="仿宋_GB2312" w:hAnsi="仿宋_GB2312" w:eastAsia="仿宋_GB2312" w:cs="仿宋_GB2312"/>
          <w:b w:val="0"/>
          <w:bCs w:val="0"/>
          <w:spacing w:val="5"/>
          <w:position w:val="-2"/>
          <w:sz w:val="32"/>
          <w:szCs w:val="32"/>
        </w:rPr>
        <w:t>万元，执行数为</w:t>
      </w:r>
      <w:r>
        <w:rPr>
          <w:rFonts w:hint="eastAsia" w:ascii="仿宋_GB2312" w:hAnsi="仿宋_GB2312" w:eastAsia="仿宋_GB2312" w:cs="仿宋_GB2312"/>
          <w:b w:val="0"/>
          <w:bCs w:val="0"/>
          <w:spacing w:val="5"/>
          <w:position w:val="-2"/>
          <w:sz w:val="32"/>
          <w:szCs w:val="32"/>
          <w:lang w:val="en-US" w:eastAsia="zh-CN"/>
        </w:rPr>
        <w:t>118.41</w:t>
      </w:r>
      <w:r>
        <w:rPr>
          <w:rFonts w:hint="eastAsia" w:ascii="仿宋_GB2312" w:hAnsi="仿宋_GB2312" w:eastAsia="仿宋_GB2312" w:cs="仿宋_GB2312"/>
          <w:b w:val="0"/>
          <w:bCs w:val="0"/>
          <w:spacing w:val="5"/>
          <w:position w:val="-2"/>
          <w:sz w:val="32"/>
          <w:szCs w:val="32"/>
        </w:rPr>
        <w:t xml:space="preserve"> 万元，完成预算的</w:t>
      </w:r>
      <w:r>
        <w:rPr>
          <w:rFonts w:hint="eastAsia" w:ascii="仿宋_GB2312" w:hAnsi="仿宋_GB2312" w:eastAsia="仿宋_GB2312" w:cs="仿宋_GB2312"/>
          <w:b w:val="0"/>
          <w:bCs w:val="0"/>
          <w:spacing w:val="5"/>
          <w:position w:val="-2"/>
          <w:sz w:val="32"/>
          <w:szCs w:val="32"/>
          <w:lang w:val="en-US" w:eastAsia="zh-CN"/>
        </w:rPr>
        <w:t>100</w:t>
      </w:r>
      <w:r>
        <w:rPr>
          <w:rFonts w:hint="eastAsia" w:ascii="仿宋_GB2312" w:hAnsi="仿宋_GB2312" w:eastAsia="仿宋_GB2312" w:cs="仿宋_GB2312"/>
          <w:b w:val="0"/>
          <w:bCs w:val="0"/>
          <w:spacing w:val="5"/>
          <w:position w:val="-2"/>
          <w:sz w:val="32"/>
          <w:szCs w:val="32"/>
        </w:rPr>
        <w:t>%。项目绩效目标完成情况：</w:t>
      </w:r>
      <w:r>
        <w:rPr>
          <w:rFonts w:hint="eastAsia" w:ascii="仿宋" w:hAnsi="仿宋" w:eastAsia="仿宋"/>
          <w:b w:val="0"/>
          <w:bCs w:val="0"/>
          <w:color w:val="auto"/>
          <w:sz w:val="32"/>
          <w:szCs w:val="32"/>
          <w:lang w:val="en-US" w:eastAsia="zh-CN"/>
        </w:rPr>
        <w:t>预算绩效目标设立不够明确、内容不够完整,项目支出运行实践经验还欠缺,相关制度建设还有待加强。进一步规范财务核算,加强绩效管理,健全相关制度,明确部门和人员,逐步规范绩效目标编制,加强绩效跟踪监控,提升绩效评价质量,提高财政资金使用效益。</w:t>
      </w:r>
    </w:p>
    <w:p w14:paraId="338CEA32">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napToGrid w:val="0"/>
          <w:color w:val="000000"/>
          <w:spacing w:val="5"/>
          <w:kern w:val="0"/>
          <w:position w:val="-2"/>
          <w:sz w:val="32"/>
          <w:szCs w:val="32"/>
          <w:lang w:val="en-US" w:eastAsia="en-US" w:bidi="ar-SA"/>
        </w:rPr>
        <w:t>（三）</w:t>
      </w:r>
      <w:r>
        <w:rPr>
          <w:rFonts w:hint="eastAsia" w:ascii="仿宋_GB2312" w:hAnsi="仿宋_GB2312" w:eastAsia="仿宋_GB2312" w:cs="仿宋_GB2312"/>
          <w:b w:val="0"/>
          <w:bCs w:val="0"/>
          <w:spacing w:val="5"/>
          <w:position w:val="-2"/>
          <w:sz w:val="32"/>
          <w:szCs w:val="32"/>
        </w:rPr>
        <w:t>部门评价结果（如有）。除涉密敏感内容外，省 级部门原则上应将部门评价结果以报告的形式予以公开。报 告框架可参考《项目支出绩效评价管理办法》（吉财绩〔2022〕 711 号）中的《项目支出绩效评价报告（参考提纲）》。</w:t>
      </w:r>
    </w:p>
    <w:p w14:paraId="79F871D0">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3" w:firstLineChars="200"/>
        <w:jc w:val="both"/>
        <w:textAlignment w:val="baseline"/>
        <w:outlineLvl w:val="0"/>
        <w:rPr>
          <w:rFonts w:hint="eastAsia" w:ascii="仿宋_GB2312" w:hAnsi="仿宋_GB2312" w:eastAsia="仿宋_GB2312" w:cs="仿宋_GB2312"/>
          <w:b/>
          <w:bCs/>
          <w:spacing w:val="5"/>
          <w:position w:val="-2"/>
          <w:sz w:val="32"/>
          <w:szCs w:val="32"/>
        </w:rPr>
      </w:pPr>
      <w:r>
        <w:rPr>
          <w:rFonts w:hint="eastAsia" w:ascii="仿宋_GB2312" w:hAnsi="仿宋_GB2312" w:eastAsia="仿宋_GB2312" w:cs="仿宋_GB2312"/>
          <w:b/>
          <w:bCs/>
          <w:spacing w:val="5"/>
          <w:position w:val="-2"/>
          <w:sz w:val="32"/>
          <w:szCs w:val="32"/>
        </w:rPr>
        <w:t>十一、其他重要事项情况说明</w:t>
      </w:r>
    </w:p>
    <w:p w14:paraId="78EA86A5">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（一）机关运行经费执行情况说明</w:t>
      </w:r>
    </w:p>
    <w:p w14:paraId="7C6B9077">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2023年度机关运行经费支出</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万元，较2022年度增加 （减少）</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万元，增长（降低）</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 xml:space="preserve"> %。</w:t>
      </w:r>
    </w:p>
    <w:p w14:paraId="0E5CE0DD">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（二）政府采购支出情况说明</w:t>
      </w:r>
    </w:p>
    <w:p w14:paraId="7B3F39DB">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2023年度政府采购支出总额</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万元，其中：政府采购货物支出</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万元、政府采购工程支出</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万元、政府采购服务支出</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万元。授予中小企业合同金额</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万元， 占政府采购支出总额的 %，其中：授予小微企业合同金额</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万元， 占授予中小企业合同金额的</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%；货物采购授予中小企业合同金额占货物支出金额的</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%，工程采购授予中小企业合同金额占工程支出金额的</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%，服务采购授予中小企业合同金额占服务支出金额的</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w:t>
      </w:r>
    </w:p>
    <w:p w14:paraId="3DEBDA29">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（三）国有资产占用情况说明</w:t>
      </w:r>
    </w:p>
    <w:p w14:paraId="41062BAE">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截至2023年12月31日，</w:t>
      </w:r>
      <w:r>
        <w:rPr>
          <w:rFonts w:hint="eastAsia" w:ascii="仿宋_GB2312" w:hAnsi="仿宋_GB2312" w:eastAsia="仿宋_GB2312" w:cs="仿宋_GB2312"/>
          <w:b w:val="0"/>
          <w:bCs w:val="0"/>
          <w:spacing w:val="5"/>
          <w:position w:val="-2"/>
          <w:sz w:val="32"/>
          <w:szCs w:val="32"/>
          <w:lang w:val="en-US" w:eastAsia="zh-CN"/>
        </w:rPr>
        <w:t>榆树市司法局</w:t>
      </w:r>
      <w:r>
        <w:rPr>
          <w:rFonts w:hint="eastAsia" w:ascii="仿宋_GB2312" w:hAnsi="仿宋_GB2312" w:eastAsia="仿宋_GB2312" w:cs="仿宋_GB2312"/>
          <w:b w:val="0"/>
          <w:bCs w:val="0"/>
          <w:spacing w:val="5"/>
          <w:position w:val="-2"/>
          <w:sz w:val="32"/>
          <w:szCs w:val="32"/>
        </w:rPr>
        <w:t>共有车辆</w:t>
      </w:r>
      <w:r>
        <w:rPr>
          <w:rFonts w:hint="eastAsia" w:ascii="仿宋_GB2312" w:hAnsi="仿宋_GB2312" w:eastAsia="仿宋_GB2312" w:cs="仿宋_GB2312"/>
          <w:b w:val="0"/>
          <w:bCs w:val="0"/>
          <w:spacing w:val="5"/>
          <w:position w:val="-2"/>
          <w:sz w:val="32"/>
          <w:szCs w:val="32"/>
          <w:lang w:val="en-US" w:eastAsia="zh-CN"/>
        </w:rPr>
        <w:t>36</w:t>
      </w:r>
      <w:r>
        <w:rPr>
          <w:rFonts w:hint="eastAsia" w:ascii="仿宋_GB2312" w:hAnsi="仿宋_GB2312" w:eastAsia="仿宋_GB2312" w:cs="仿宋_GB2312"/>
          <w:b w:val="0"/>
          <w:bCs w:val="0"/>
          <w:spacing w:val="5"/>
          <w:position w:val="-2"/>
          <w:sz w:val="32"/>
          <w:szCs w:val="32"/>
        </w:rPr>
        <w:t>辆，其中，副部（省）级及以上领导用车</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辆、主要负责人用车</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辆、机要通信用车</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辆、应急保障用车</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辆、执法执勤用车</w:t>
      </w:r>
      <w:r>
        <w:rPr>
          <w:rFonts w:hint="eastAsia" w:ascii="仿宋_GB2312" w:hAnsi="仿宋_GB2312" w:eastAsia="仿宋_GB2312" w:cs="仿宋_GB2312"/>
          <w:b w:val="0"/>
          <w:bCs w:val="0"/>
          <w:spacing w:val="5"/>
          <w:position w:val="-2"/>
          <w:sz w:val="32"/>
          <w:szCs w:val="32"/>
          <w:lang w:val="en-US" w:eastAsia="zh-CN"/>
        </w:rPr>
        <w:t>36</w:t>
      </w:r>
      <w:r>
        <w:rPr>
          <w:rFonts w:hint="eastAsia" w:ascii="仿宋_GB2312" w:hAnsi="仿宋_GB2312" w:eastAsia="仿宋_GB2312" w:cs="仿宋_GB2312"/>
          <w:b w:val="0"/>
          <w:bCs w:val="0"/>
          <w:spacing w:val="5"/>
          <w:position w:val="-2"/>
          <w:sz w:val="32"/>
          <w:szCs w:val="32"/>
        </w:rPr>
        <w:t>辆、特种专业技术用车</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辆、离退休干部用车</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辆、其他用车</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辆；单位价值 100 万元（含）以上设备（不含车辆）</w:t>
      </w:r>
      <w:r>
        <w:rPr>
          <w:rFonts w:hint="eastAsia" w:ascii="仿宋_GB2312" w:hAnsi="仿宋_GB2312" w:eastAsia="仿宋_GB2312" w:cs="仿宋_GB2312"/>
          <w:b w:val="0"/>
          <w:bCs w:val="0"/>
          <w:spacing w:val="5"/>
          <w:position w:val="-2"/>
          <w:sz w:val="32"/>
          <w:szCs w:val="32"/>
          <w:lang w:val="en-US" w:eastAsia="zh-CN"/>
        </w:rPr>
        <w:t>0</w:t>
      </w:r>
      <w:r>
        <w:rPr>
          <w:rFonts w:hint="eastAsia" w:ascii="仿宋_GB2312" w:hAnsi="仿宋_GB2312" w:eastAsia="仿宋_GB2312" w:cs="仿宋_GB2312"/>
          <w:b w:val="0"/>
          <w:bCs w:val="0"/>
          <w:spacing w:val="5"/>
          <w:position w:val="-2"/>
          <w:sz w:val="32"/>
          <w:szCs w:val="32"/>
        </w:rPr>
        <w:t>台（套）。</w:t>
      </w:r>
    </w:p>
    <w:p w14:paraId="6BD5ABC5">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p>
    <w:p w14:paraId="3839E1F3">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p>
    <w:p w14:paraId="6061E2AB">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p>
    <w:p w14:paraId="3809B565">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p>
    <w:p w14:paraId="69749EBF">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p>
    <w:p w14:paraId="2F024731">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p>
    <w:p w14:paraId="00FCE478">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jc w:val="both"/>
        <w:textAlignment w:val="baseline"/>
        <w:outlineLvl w:val="0"/>
        <w:rPr>
          <w:rFonts w:hint="eastAsia" w:ascii="仿宋_GB2312" w:hAnsi="仿宋_GB2312" w:eastAsia="仿宋_GB2312" w:cs="仿宋_GB2312"/>
          <w:b w:val="0"/>
          <w:bCs w:val="0"/>
          <w:spacing w:val="5"/>
          <w:position w:val="-2"/>
          <w:sz w:val="32"/>
          <w:szCs w:val="32"/>
        </w:rPr>
      </w:pPr>
    </w:p>
    <w:p w14:paraId="6E62D912">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jc w:val="center"/>
        <w:textAlignment w:val="baseline"/>
        <w:outlineLvl w:val="0"/>
        <w:rPr>
          <w:rFonts w:hint="eastAsia" w:ascii="仿宋_GB2312" w:hAnsi="仿宋_GB2312" w:eastAsia="仿宋_GB2312" w:cs="仿宋_GB2312"/>
          <w:b/>
          <w:bCs/>
          <w:spacing w:val="5"/>
          <w:position w:val="-2"/>
          <w:sz w:val="44"/>
          <w:szCs w:val="44"/>
        </w:rPr>
      </w:pPr>
      <w:r>
        <w:rPr>
          <w:rFonts w:hint="eastAsia" w:ascii="仿宋_GB2312" w:hAnsi="仿宋_GB2312" w:eastAsia="仿宋_GB2312" w:cs="仿宋_GB2312"/>
          <w:b/>
          <w:bCs/>
          <w:spacing w:val="5"/>
          <w:position w:val="-2"/>
          <w:sz w:val="44"/>
          <w:szCs w:val="44"/>
        </w:rPr>
        <w:t>第四部分   名词解释</w:t>
      </w:r>
    </w:p>
    <w:p w14:paraId="4A3F9786">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一、财政拨款收入：指单位从同级财政部门取得的财政预算资金。</w:t>
      </w:r>
    </w:p>
    <w:p w14:paraId="303C5CD2">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二、上级补助收入：指从主管部门和上级单位取得的非财政补助收入。</w:t>
      </w:r>
    </w:p>
    <w:p w14:paraId="436383C1">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三、事业收入：指事业单位开展专业业务活动及辅助活动取得的收入。</w:t>
      </w:r>
    </w:p>
    <w:p w14:paraId="21F3F525">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四、经营收入：指事业单位在专业业务活动及其辅助活动之外开展非独立核算经营活动取得的收入。</w:t>
      </w:r>
    </w:p>
    <w:p w14:paraId="7658BEFC">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五、附属单位上缴收入：指事业单位附属独立核算单位按照有关规定上缴的收入。</w:t>
      </w:r>
    </w:p>
    <w:p w14:paraId="4F74EF84">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六、其他收入：指除上述收入以外的各项收入。包括未纳入财政预算或财政专户管理的投资收益、银行存款利息收 入、租金收入、捐赠收入，现金盘盈收入、存货盘盈收入、收回已核销应收及预付款项、无法偿付的应付及预收款项，从省财政以外的同级单位取得的经费、从非省财政取得的经费，以及行政单位收到的财政专户管理资金等。</w:t>
      </w:r>
    </w:p>
    <w:p w14:paraId="554185BF">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七、使用非财政拨款结余（含专用结余）：指事业单位按照预算管理要求使用非财政拨款结余弥补收支差额的金 额，以及使用专用结余安排支出的金额。</w:t>
      </w:r>
    </w:p>
    <w:p w14:paraId="16ABF94B">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八、年初结转和结余：指单位以前年度尚未完成、结转到本年按有关规定用途继续使用的资金，或项目已完成等产 生的结余资金。</w:t>
      </w:r>
    </w:p>
    <w:p w14:paraId="106F54EE">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九、结余分配：指事业单位按照会计制度规定缴纳的所得税、提取的专用结余以及转入非财政拨款结余的金额等。</w:t>
      </w:r>
    </w:p>
    <w:p w14:paraId="39FE0DDE">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十、年末结转和结余：指单位按有关规定结转到下年或以后年度继续使用的资金，或项目已完成等产生的结余资 金。</w:t>
      </w:r>
    </w:p>
    <w:p w14:paraId="036C77AE">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十一、基本支出：指为保障机构正常运转、完成日常工作任务而发生的人员支出和公用支出。</w:t>
      </w:r>
    </w:p>
    <w:p w14:paraId="2473DC7A">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十二、项目支出：指在基本支出之外为完成特定行政任务或事业发展目标所发生的支出。</w:t>
      </w:r>
    </w:p>
    <w:p w14:paraId="091392E6">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十三、经营支出：指事业单位在专业业务活动及其辅助活动之外开展非独立核算经营活动发生的支出。</w:t>
      </w:r>
    </w:p>
    <w:p w14:paraId="36A77C67">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十四、上缴上级支出：指事业单位按照有关规定上缴上级单位的支出。</w:t>
      </w:r>
    </w:p>
    <w:p w14:paraId="48B68EE5">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十五、对附属单位补助支出：指事业单位用财政补助收入之外的收入对附属单位补助发生的支出。</w:t>
      </w:r>
    </w:p>
    <w:p w14:paraId="552927AB">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十六、“三公”经费：纳入省级财政预决算管理的“三  公”经费，是指省级部门用财政拨款安排的因公出国（境）费、公务用车购置及运行维护费和公务接待费。是党政机关  维持运转或完成特定工作任务所开支的相关支出，是政府行政开支的一部分。其中，因公出国（境）费反映公务出国（境）的国际旅费、国外城市间交通费、住宿费、伙食费、培训费、公杂费等支出；公务用车购置及运行费反映单位公务用车车辆购置支出（含车辆购置税）及燃料费、维修费、过桥过路费、保险费、安全奖励费等支出；公务接待费反映单位按规定开支的各类公务接待（含外宾接待）支出。</w:t>
      </w:r>
    </w:p>
    <w:p w14:paraId="2B1B2C8A">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十七、机关运行经费：指为保障行政单位（包括参照公务员法管理的事业单位）运行用于购买货物和服务的各项资 金，包括办公费、印刷费、邮电费、差旅费、会议费、福利费、日常维修费、专用材料及一般设备购置费、办公用房水电费、办公用房取暖费、办公用房物业管理费、公务用车运行维护费以及其他费用。</w:t>
      </w:r>
    </w:p>
    <w:p w14:paraId="439E90E2">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仿宋_GB2312" w:hAnsi="仿宋_GB2312" w:eastAsia="仿宋_GB2312" w:cs="仿宋_GB2312"/>
          <w:b w:val="0"/>
          <w:bCs w:val="0"/>
          <w:spacing w:val="5"/>
          <w:position w:val="-2"/>
          <w:sz w:val="32"/>
          <w:szCs w:val="32"/>
        </w:rPr>
      </w:pPr>
      <w:r>
        <w:rPr>
          <w:rFonts w:hint="eastAsia" w:ascii="仿宋_GB2312" w:hAnsi="仿宋_GB2312" w:eastAsia="仿宋_GB2312" w:cs="仿宋_GB2312"/>
          <w:b w:val="0"/>
          <w:bCs w:val="0"/>
          <w:spacing w:val="5"/>
          <w:position w:val="-2"/>
          <w:sz w:val="32"/>
          <w:szCs w:val="32"/>
        </w:rPr>
        <w:t>十八、******（对部门使用的所有“项”级政府收支分类科目，参照《2023年政府收支分类科目》中的科目说明和 中央部门决算公开内容进行说明）：</w:t>
      </w:r>
    </w:p>
    <w:p w14:paraId="05F0B3F2">
      <w:pPr>
        <w:keepNext w:val="0"/>
        <w:keepLines w:val="0"/>
        <w:pageBreakBefore w:val="0"/>
        <w:widowControl w:val="0"/>
        <w:numPr>
          <w:ilvl w:val="0"/>
          <w:numId w:val="0"/>
        </w:numPr>
        <w:kinsoku/>
        <w:wordWrap/>
        <w:overflowPunct w:val="0"/>
        <w:topLinePunct w:val="0"/>
        <w:autoSpaceDE/>
        <w:autoSpaceDN/>
        <w:bidi w:val="0"/>
        <w:adjustRightInd w:val="0"/>
        <w:snapToGrid w:val="0"/>
        <w:spacing w:before="225" w:line="336" w:lineRule="auto"/>
        <w:ind w:firstLine="660" w:firstLineChars="200"/>
        <w:jc w:val="both"/>
        <w:textAlignment w:val="baseline"/>
        <w:outlineLvl w:val="0"/>
        <w:rPr>
          <w:rFonts w:hint="eastAsia" w:ascii="Times New Roman" w:hAnsi="Times New Roman" w:eastAsia="仿宋_GB2312" w:cs="Times New Roman"/>
          <w:lang w:eastAsia="zh-CN"/>
        </w:rPr>
      </w:pPr>
      <w:r>
        <w:rPr>
          <w:rFonts w:hint="eastAsia" w:ascii="仿宋_GB2312" w:hAnsi="仿宋_GB2312" w:eastAsia="仿宋_GB2312" w:cs="仿宋_GB2312"/>
          <w:b w:val="0"/>
          <w:bCs w:val="0"/>
          <w:spacing w:val="5"/>
          <w:position w:val="-2"/>
          <w:sz w:val="32"/>
          <w:szCs w:val="32"/>
        </w:rPr>
        <w:t>十九、 … …（同上）</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C13C3">
    <w:pPr>
      <w:spacing w:line="176" w:lineRule="auto"/>
      <w:ind w:left="4122"/>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224CD9">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07224CD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2M2ZmY2UwOWM5ODg2OWJhZTA1YjZmMjYzMDFkYjIifQ=="/>
  </w:docVars>
  <w:rsids>
    <w:rsidRoot w:val="434856FF"/>
    <w:rsid w:val="005C6C6E"/>
    <w:rsid w:val="0119565C"/>
    <w:rsid w:val="037D7D16"/>
    <w:rsid w:val="0C0F126C"/>
    <w:rsid w:val="10C57E38"/>
    <w:rsid w:val="16097BD1"/>
    <w:rsid w:val="19266489"/>
    <w:rsid w:val="27201E7D"/>
    <w:rsid w:val="292921E1"/>
    <w:rsid w:val="29752839"/>
    <w:rsid w:val="2D89009F"/>
    <w:rsid w:val="30934A17"/>
    <w:rsid w:val="33B26438"/>
    <w:rsid w:val="35BE3FCB"/>
    <w:rsid w:val="36683F07"/>
    <w:rsid w:val="36B026D3"/>
    <w:rsid w:val="3C531413"/>
    <w:rsid w:val="3EDA5D76"/>
    <w:rsid w:val="434856FF"/>
    <w:rsid w:val="548E3859"/>
    <w:rsid w:val="585824C9"/>
    <w:rsid w:val="5C581C45"/>
    <w:rsid w:val="5C9502E2"/>
    <w:rsid w:val="756106B3"/>
    <w:rsid w:val="7E9D46B7"/>
    <w:rsid w:val="7EF822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8177</Words>
  <Characters>8714</Characters>
  <Lines>0</Lines>
  <Paragraphs>0</Paragraphs>
  <TotalTime>9</TotalTime>
  <ScaleCrop>false</ScaleCrop>
  <LinksUpToDate>false</LinksUpToDate>
  <CharactersWithSpaces>8870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2024-09-19T00:37:00Z</dcterms:created>
  <dc:creator>め那＇ヅ吖`头だ</dc:creator>
  <cp:lastModifiedBy>Administrator</cp:lastModifiedBy>
  <cp:lastPrinted>2024-10-29T03:03:00Z</cp:lastPrinted>
  <dcterms:modified xsi:type="dcterms:W3CDTF">2025-04-23T02:34:01Z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6521EA151A9441C0B7E2BBE0D2190844_11</vt:lpwstr>
  </property>
  <property fmtid="{D5CDD505-2E9C-101B-9397-08002B2CF9AE}" pid="4" name="KSOTemplateDocerSaveRecord">
    <vt:lpwstr>eyJoZGlkIjoiYzE2Y2QzMWI3N2MxZjBiMmQ0ZDIwOTNlOGJiOTZiMmEifQ==</vt:lpwstr>
  </property>
</Properties>
</file>