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4BE958B">
      <w:pPr>
        <w:widowControl w:val="0"/>
        <w:kinsoku/>
        <w:autoSpaceDE/>
        <w:autoSpaceDN/>
        <w:adjustRightInd/>
        <w:snapToGrid/>
        <w:spacing w:line="240" w:lineRule="auto"/>
        <w:jc w:val="both"/>
        <w:textAlignment w:val="auto"/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</w:pPr>
      <w:r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  <w:t xml:space="preserve">附件 </w:t>
      </w:r>
      <w:r>
        <w:rPr>
          <w:rFonts w:hint="default" w:ascii="Times New Roman" w:hAnsi="Times New Roman" w:eastAsia="仿宋" w:cs="Times New Roman"/>
          <w:snapToGrid/>
          <w:kern w:val="2"/>
          <w:sz w:val="28"/>
          <w:szCs w:val="28"/>
          <w:lang w:eastAsia="zh-CN"/>
        </w:rPr>
        <w:t>1</w:t>
      </w:r>
      <w:r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  <w:t>：</w:t>
      </w:r>
    </w:p>
    <w:p w14:paraId="2B3819C0">
      <w:pPr>
        <w:pStyle w:val="2"/>
        <w:spacing w:line="251" w:lineRule="auto"/>
      </w:pPr>
    </w:p>
    <w:p w14:paraId="6480CA29">
      <w:pPr>
        <w:pStyle w:val="2"/>
        <w:spacing w:line="251" w:lineRule="auto"/>
      </w:pPr>
    </w:p>
    <w:p w14:paraId="36A03C05">
      <w:pPr>
        <w:pStyle w:val="2"/>
        <w:spacing w:line="252" w:lineRule="auto"/>
      </w:pPr>
    </w:p>
    <w:p w14:paraId="137A751A">
      <w:pPr>
        <w:pStyle w:val="2"/>
        <w:spacing w:line="252" w:lineRule="auto"/>
      </w:pPr>
    </w:p>
    <w:p w14:paraId="0EB51E99">
      <w:pPr>
        <w:pStyle w:val="2"/>
        <w:spacing w:line="252" w:lineRule="auto"/>
      </w:pPr>
    </w:p>
    <w:p w14:paraId="7C623B47">
      <w:pPr>
        <w:pStyle w:val="2"/>
        <w:spacing w:line="252" w:lineRule="auto"/>
      </w:pPr>
    </w:p>
    <w:p w14:paraId="1BBA13EE">
      <w:pPr>
        <w:pStyle w:val="2"/>
        <w:spacing w:line="252" w:lineRule="auto"/>
      </w:pPr>
    </w:p>
    <w:p w14:paraId="6A51FA18">
      <w:pPr>
        <w:pStyle w:val="2"/>
        <w:spacing w:line="252" w:lineRule="auto"/>
      </w:pPr>
    </w:p>
    <w:p w14:paraId="0F748580">
      <w:pPr>
        <w:pStyle w:val="2"/>
        <w:spacing w:line="252" w:lineRule="auto"/>
      </w:pPr>
    </w:p>
    <w:p w14:paraId="67EA5D5E">
      <w:pPr>
        <w:pStyle w:val="2"/>
        <w:spacing w:line="252" w:lineRule="auto"/>
      </w:pPr>
    </w:p>
    <w:p w14:paraId="0A0711FD">
      <w:pPr>
        <w:pStyle w:val="2"/>
        <w:spacing w:line="252" w:lineRule="auto"/>
      </w:pPr>
    </w:p>
    <w:p w14:paraId="0375A336">
      <w:pPr>
        <w:pStyle w:val="2"/>
        <w:spacing w:line="252" w:lineRule="auto"/>
      </w:pPr>
    </w:p>
    <w:p w14:paraId="76073ABD">
      <w:pPr>
        <w:pStyle w:val="2"/>
        <w:spacing w:line="252" w:lineRule="auto"/>
      </w:pPr>
    </w:p>
    <w:p w14:paraId="3495B016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2023 年度</w:t>
      </w:r>
    </w:p>
    <w:p w14:paraId="4FD0C4A8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</w:p>
    <w:p w14:paraId="61A54DB3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ascii="仿宋" w:hAnsi="仿宋" w:eastAsia="仿宋" w:cs="Arial"/>
          <w:snapToGrid/>
          <w:kern w:val="2"/>
          <w:sz w:val="44"/>
          <w:szCs w:val="44"/>
          <w:lang w:eastAsia="zh-CN"/>
        </w:rPr>
      </w:pPr>
      <w:r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  <w:t>榆树市科学技术协会</w:t>
      </w: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部门决算</w:t>
      </w:r>
    </w:p>
    <w:p w14:paraId="61450DA5">
      <w:pPr>
        <w:pStyle w:val="2"/>
        <w:spacing w:line="242" w:lineRule="auto"/>
      </w:pPr>
    </w:p>
    <w:p w14:paraId="75942D71">
      <w:pPr>
        <w:pStyle w:val="2"/>
        <w:spacing w:line="242" w:lineRule="auto"/>
      </w:pPr>
    </w:p>
    <w:p w14:paraId="658FED67">
      <w:pPr>
        <w:pStyle w:val="2"/>
        <w:spacing w:line="242" w:lineRule="auto"/>
      </w:pPr>
    </w:p>
    <w:p w14:paraId="6B59271C">
      <w:pPr>
        <w:pStyle w:val="2"/>
        <w:spacing w:line="242" w:lineRule="auto"/>
      </w:pPr>
    </w:p>
    <w:p w14:paraId="6D9FC17B">
      <w:pPr>
        <w:pStyle w:val="2"/>
        <w:spacing w:line="242" w:lineRule="auto"/>
      </w:pPr>
    </w:p>
    <w:p w14:paraId="2F0C60A3">
      <w:pPr>
        <w:pStyle w:val="2"/>
        <w:spacing w:line="242" w:lineRule="auto"/>
      </w:pPr>
    </w:p>
    <w:p w14:paraId="256AF5EC">
      <w:pPr>
        <w:pStyle w:val="2"/>
        <w:spacing w:line="242" w:lineRule="auto"/>
      </w:pPr>
    </w:p>
    <w:p w14:paraId="444BD208">
      <w:pPr>
        <w:pStyle w:val="2"/>
        <w:spacing w:line="242" w:lineRule="auto"/>
      </w:pPr>
    </w:p>
    <w:p w14:paraId="28769DE0">
      <w:pPr>
        <w:pStyle w:val="2"/>
        <w:spacing w:line="242" w:lineRule="auto"/>
      </w:pPr>
    </w:p>
    <w:p w14:paraId="01264E7F">
      <w:pPr>
        <w:pStyle w:val="2"/>
        <w:spacing w:line="242" w:lineRule="auto"/>
      </w:pPr>
    </w:p>
    <w:p w14:paraId="1E938CED">
      <w:pPr>
        <w:pStyle w:val="2"/>
        <w:spacing w:line="242" w:lineRule="auto"/>
      </w:pPr>
    </w:p>
    <w:p w14:paraId="6BDD54C2">
      <w:pPr>
        <w:pStyle w:val="2"/>
        <w:spacing w:line="243" w:lineRule="auto"/>
      </w:pPr>
    </w:p>
    <w:p w14:paraId="02879AE6">
      <w:pPr>
        <w:pStyle w:val="2"/>
        <w:spacing w:line="243" w:lineRule="auto"/>
      </w:pPr>
    </w:p>
    <w:p w14:paraId="0EF24A31">
      <w:pPr>
        <w:pStyle w:val="2"/>
        <w:spacing w:line="243" w:lineRule="auto"/>
      </w:pPr>
    </w:p>
    <w:p w14:paraId="6EE7374F">
      <w:pPr>
        <w:pStyle w:val="2"/>
        <w:spacing w:line="243" w:lineRule="auto"/>
      </w:pPr>
    </w:p>
    <w:p w14:paraId="3491D4BD">
      <w:pPr>
        <w:pStyle w:val="2"/>
        <w:spacing w:line="243" w:lineRule="auto"/>
      </w:pPr>
    </w:p>
    <w:p w14:paraId="5D1871E2">
      <w:pPr>
        <w:pStyle w:val="2"/>
        <w:spacing w:line="243" w:lineRule="auto"/>
      </w:pPr>
    </w:p>
    <w:p w14:paraId="410A0161">
      <w:pPr>
        <w:pStyle w:val="2"/>
        <w:spacing w:line="243" w:lineRule="auto"/>
      </w:pPr>
    </w:p>
    <w:p w14:paraId="6981C6A4">
      <w:pPr>
        <w:pStyle w:val="2"/>
        <w:spacing w:line="243" w:lineRule="auto"/>
      </w:pPr>
    </w:p>
    <w:p w14:paraId="6EFE9873">
      <w:pPr>
        <w:pStyle w:val="2"/>
        <w:spacing w:line="243" w:lineRule="auto"/>
      </w:pPr>
    </w:p>
    <w:p w14:paraId="6EB901A4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</w:pPr>
      <w:r>
        <w:rPr>
          <w:rFonts w:hint="default" w:ascii="Times New Roman" w:hAnsi="Times New Roman" w:eastAsia="仿宋" w:cs="Times New Roman"/>
          <w:snapToGrid/>
          <w:kern w:val="2"/>
          <w:sz w:val="32"/>
          <w:szCs w:val="32"/>
          <w:lang w:eastAsia="zh-CN"/>
        </w:rPr>
        <w:t xml:space="preserve">2024 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年 </w:t>
      </w:r>
      <w:r>
        <w:rPr>
          <w:rFonts w:hint="eastAsia" w:ascii="仿宋" w:hAnsi="仿宋" w:eastAsia="仿宋" w:cs="Arial"/>
          <w:snapToGrid/>
          <w:kern w:val="2"/>
          <w:sz w:val="32"/>
          <w:szCs w:val="32"/>
          <w:lang w:val="en-US" w:eastAsia="zh-CN"/>
        </w:rPr>
        <w:t>10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 月  </w:t>
      </w:r>
      <w:r>
        <w:rPr>
          <w:rFonts w:hint="eastAsia" w:ascii="仿宋" w:hAnsi="仿宋" w:eastAsia="仿宋" w:cs="Arial"/>
          <w:snapToGrid/>
          <w:kern w:val="2"/>
          <w:sz w:val="32"/>
          <w:szCs w:val="32"/>
          <w:lang w:val="en-US" w:eastAsia="zh-CN"/>
        </w:rPr>
        <w:t>24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 日</w:t>
      </w:r>
    </w:p>
    <w:p w14:paraId="346CA216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ascii="仿宋" w:hAnsi="仿宋" w:eastAsia="仿宋" w:cs="Arial"/>
          <w:snapToGrid/>
          <w:kern w:val="2"/>
          <w:sz w:val="44"/>
          <w:szCs w:val="44"/>
          <w:lang w:eastAsia="zh-CN"/>
        </w:rPr>
        <w:sectPr>
          <w:footerReference r:id="rId5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50509EAF">
      <w:pPr>
        <w:pStyle w:val="2"/>
        <w:spacing w:line="289" w:lineRule="auto"/>
      </w:pPr>
    </w:p>
    <w:p w14:paraId="3F0E22C0">
      <w:pPr>
        <w:pStyle w:val="2"/>
        <w:spacing w:line="290" w:lineRule="auto"/>
      </w:pPr>
    </w:p>
    <w:p w14:paraId="24DB9D20">
      <w:pPr>
        <w:spacing w:before="140" w:line="223" w:lineRule="auto"/>
        <w:ind w:left="3502"/>
        <w:outlineLvl w:val="0"/>
        <w:rPr>
          <w:rFonts w:ascii="仿宋" w:hAnsi="仿宋" w:eastAsia="仿宋" w:cs="仿宋"/>
          <w:sz w:val="43"/>
          <w:szCs w:val="43"/>
        </w:rPr>
      </w:pPr>
      <w:r>
        <w:rPr>
          <w:rFonts w:hint="eastAsia" w:ascii="仿宋" w:hAnsi="仿宋" w:eastAsia="仿宋" w:cs="Times New Roman"/>
          <w:snapToGrid/>
          <w:kern w:val="2"/>
          <w:sz w:val="44"/>
          <w:szCs w:val="22"/>
          <w:lang w:eastAsia="zh-CN"/>
        </w:rPr>
        <w:t>目   录</w:t>
      </w:r>
    </w:p>
    <w:p w14:paraId="1E11B121">
      <w:pPr>
        <w:pStyle w:val="2"/>
        <w:spacing w:line="341" w:lineRule="auto"/>
      </w:pPr>
    </w:p>
    <w:p w14:paraId="30D044E9">
      <w:pPr>
        <w:pStyle w:val="2"/>
        <w:spacing w:line="342" w:lineRule="auto"/>
      </w:pPr>
    </w:p>
    <w:p w14:paraId="5606BDD1">
      <w:pPr>
        <w:spacing w:before="101" w:line="223" w:lineRule="auto"/>
        <w:ind w:left="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第一部分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部门概况</w:t>
      </w:r>
    </w:p>
    <w:p w14:paraId="796C2E28">
      <w:pPr>
        <w:spacing w:before="24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一、部门职责</w:t>
      </w:r>
    </w:p>
    <w:p w14:paraId="59055A4A">
      <w:pPr>
        <w:spacing w:before="250" w:line="222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二、机构设置及部门决算单位构成</w:t>
      </w:r>
    </w:p>
    <w:p w14:paraId="0B877B07">
      <w:pPr>
        <w:spacing w:before="250" w:line="223" w:lineRule="auto"/>
        <w:ind w:left="49"/>
        <w:outlineLvl w:val="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第二部分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年度部门决算表</w:t>
      </w:r>
    </w:p>
    <w:p w14:paraId="4066F692">
      <w:pPr>
        <w:spacing w:before="250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一、收入支出决算总表</w:t>
      </w:r>
    </w:p>
    <w:p w14:paraId="40AFD6F0">
      <w:pPr>
        <w:spacing w:before="250" w:line="223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二、收入决算表</w:t>
      </w:r>
    </w:p>
    <w:p w14:paraId="5F9D353A">
      <w:pPr>
        <w:spacing w:before="249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三、支出决算表</w:t>
      </w:r>
    </w:p>
    <w:p w14:paraId="28CB1AF7">
      <w:pPr>
        <w:spacing w:before="250" w:line="223" w:lineRule="auto"/>
        <w:ind w:left="7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四、财政拨款收入支出决算总表</w:t>
      </w:r>
    </w:p>
    <w:p w14:paraId="29B83636">
      <w:pPr>
        <w:spacing w:before="24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五、一般公共预算财政拨款支出决算表</w:t>
      </w:r>
    </w:p>
    <w:p w14:paraId="6199B5C9">
      <w:pPr>
        <w:spacing w:before="250" w:line="223" w:lineRule="auto"/>
        <w:ind w:left="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六、一般公共预算财政拨款基本支出决算明细表</w:t>
      </w:r>
    </w:p>
    <w:p w14:paraId="7A753063">
      <w:pPr>
        <w:spacing w:before="251" w:line="221" w:lineRule="auto"/>
        <w:ind w:left="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七、政府性基金预算财政拨款收入支出决算表</w:t>
      </w:r>
    </w:p>
    <w:p w14:paraId="560BFED2">
      <w:pPr>
        <w:spacing w:before="252" w:line="223" w:lineRule="auto"/>
        <w:ind w:left="3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八、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国有资本经营预算财政拨款支出决算表</w:t>
      </w:r>
    </w:p>
    <w:p w14:paraId="7853FF8D">
      <w:pPr>
        <w:spacing w:before="249" w:line="223" w:lineRule="auto"/>
        <w:ind w:left="4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九、财政拨款“三公”经费支出决算表</w:t>
      </w:r>
    </w:p>
    <w:p w14:paraId="5939869F">
      <w:pPr>
        <w:spacing w:before="250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十、部门预算项目支出绩效自评表</w:t>
      </w:r>
    </w:p>
    <w:p w14:paraId="1DD2F702">
      <w:pPr>
        <w:spacing w:before="249" w:line="223" w:lineRule="auto"/>
        <w:ind w:left="49"/>
        <w:outlineLvl w:val="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第三部分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年度部门决算情况说明</w:t>
      </w:r>
    </w:p>
    <w:p w14:paraId="7EFECC79">
      <w:pPr>
        <w:spacing w:before="250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一、收入支出决算总体情况说明</w:t>
      </w:r>
    </w:p>
    <w:p w14:paraId="0D4ECB4D">
      <w:pPr>
        <w:spacing w:before="250" w:line="223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二、收入决算情况说明</w:t>
      </w:r>
    </w:p>
    <w:p w14:paraId="4BFADA0F">
      <w:pPr>
        <w:spacing w:before="250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三、支出决算情况说明</w:t>
      </w:r>
    </w:p>
    <w:p w14:paraId="2AFE3705">
      <w:pPr>
        <w:spacing w:before="249" w:line="223" w:lineRule="auto"/>
        <w:ind w:left="7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四、财政拨款收入支出决算总体情况说明</w:t>
      </w:r>
    </w:p>
    <w:p w14:paraId="32F7D635">
      <w:pPr>
        <w:spacing w:line="22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6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6618ED9D">
      <w:pPr>
        <w:spacing w:before="15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五、一般公共预算财政拨款支出决算情况说明</w:t>
      </w:r>
    </w:p>
    <w:p w14:paraId="0ABD0C0C">
      <w:pPr>
        <w:spacing w:before="249" w:line="223" w:lineRule="auto"/>
        <w:ind w:left="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六、一般公共预算财政拨款基本支出决算情况说明</w:t>
      </w:r>
    </w:p>
    <w:p w14:paraId="7A98B509">
      <w:pPr>
        <w:spacing w:before="250" w:line="221" w:lineRule="auto"/>
        <w:ind w:left="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七、政府性基金预算财政拨款收入支出决算情况说明</w:t>
      </w:r>
    </w:p>
    <w:p w14:paraId="77CBBFE2">
      <w:pPr>
        <w:spacing w:before="251" w:line="223" w:lineRule="auto"/>
        <w:ind w:left="3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八、</w:t>
      </w:r>
      <w:r>
        <w:rPr>
          <w:rFonts w:hint="default" w:ascii="Times New Roman" w:hAnsi="Times New Roman" w:eastAsia="仿宋_GB2312" w:cs="Times New Roman"/>
          <w:spacing w:val="-9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国有资本经营预算财政拨款支出决算情况说明</w:t>
      </w:r>
    </w:p>
    <w:p w14:paraId="54BEB291">
      <w:pPr>
        <w:spacing w:before="250" w:line="223" w:lineRule="auto"/>
        <w:ind w:left="4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九、财政拨款“三公”经费支出决算情况说明</w:t>
      </w:r>
    </w:p>
    <w:p w14:paraId="7CD81D63">
      <w:pPr>
        <w:spacing w:before="249" w:line="224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十、绩效评价情况说明</w:t>
      </w:r>
    </w:p>
    <w:p w14:paraId="3D799678">
      <w:pPr>
        <w:spacing w:before="248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十一、其他重要事项情况说明</w:t>
      </w:r>
    </w:p>
    <w:p w14:paraId="261430A7">
      <w:pPr>
        <w:spacing w:before="250" w:line="224" w:lineRule="auto"/>
        <w:ind w:left="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第四部分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名词解释</w:t>
      </w:r>
    </w:p>
    <w:p w14:paraId="03B2C236">
      <w:pPr>
        <w:spacing w:line="224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7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1DA56811">
      <w:pPr>
        <w:pStyle w:val="2"/>
        <w:spacing w:line="328" w:lineRule="auto"/>
      </w:pPr>
    </w:p>
    <w:p w14:paraId="0EC0A3C3">
      <w:pPr>
        <w:pStyle w:val="2"/>
        <w:spacing w:line="328" w:lineRule="auto"/>
      </w:pPr>
    </w:p>
    <w:p w14:paraId="0367F49F">
      <w:pPr>
        <w:spacing w:before="189" w:line="443" w:lineRule="exact"/>
        <w:ind w:left="2215"/>
        <w:outlineLvl w:val="0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  <w:r>
        <w:rPr>
          <w:rFonts w:hint="default" w:ascii="Times New Roman" w:hAnsi="Times New Roman" w:eastAsia="仿宋_GB2312" w:cs="Times New Roman"/>
          <w:b/>
          <w:bCs/>
          <w:spacing w:val="1"/>
          <w:position w:val="-2"/>
          <w:sz w:val="44"/>
          <w:szCs w:val="44"/>
        </w:rPr>
        <w:t>第一部分</w:t>
      </w:r>
      <w:r>
        <w:rPr>
          <w:rFonts w:hint="default" w:ascii="Times New Roman" w:hAnsi="Times New Roman" w:eastAsia="仿宋_GB2312" w:cs="Times New Roman"/>
          <w:b/>
          <w:bCs/>
          <w:spacing w:val="14"/>
          <w:position w:val="-2"/>
          <w:sz w:val="44"/>
          <w:szCs w:val="44"/>
        </w:rPr>
        <w:t xml:space="preserve">   </w:t>
      </w:r>
      <w:r>
        <w:rPr>
          <w:rFonts w:hint="default" w:ascii="Times New Roman" w:hAnsi="Times New Roman" w:eastAsia="仿宋_GB2312" w:cs="Times New Roman"/>
          <w:b/>
          <w:bCs/>
          <w:spacing w:val="1"/>
          <w:position w:val="-2"/>
          <w:sz w:val="44"/>
          <w:szCs w:val="44"/>
        </w:rPr>
        <w:t>部门概况</w:t>
      </w:r>
    </w:p>
    <w:p w14:paraId="04B360C8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6F445879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6601BFFB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6CA49DC0">
      <w:pPr>
        <w:spacing w:before="247" w:line="356" w:lineRule="auto"/>
        <w:ind w:left="54" w:right="12" w:firstLine="621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一、部门职责</w:t>
      </w:r>
    </w:p>
    <w:p w14:paraId="4BDAEDBA">
      <w:pPr>
        <w:spacing w:before="247" w:line="356" w:lineRule="auto"/>
        <w:ind w:left="54" w:right="12" w:firstLine="621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负责普及科学技术工作，开展科学技术交流和合作。为科学技术工作者和科学技术团体提供服务。</w:t>
      </w:r>
    </w:p>
    <w:p w14:paraId="79B196CA">
      <w:pPr>
        <w:spacing w:before="247" w:line="356" w:lineRule="auto"/>
        <w:ind w:left="54" w:right="12" w:firstLine="621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二、机构设置及部门决算单位构成</w:t>
      </w:r>
    </w:p>
    <w:p w14:paraId="0CFD6C55">
      <w:pPr>
        <w:spacing w:before="247" w:line="356" w:lineRule="auto"/>
        <w:ind w:left="54" w:right="12" w:firstLine="621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根据上述职责，科学技术协会内设3个机构，分别为普及部、学会部、宣教部(办公室)。</w:t>
      </w:r>
    </w:p>
    <w:p w14:paraId="12ED8B73">
      <w:pPr>
        <w:spacing w:before="247" w:line="356" w:lineRule="auto"/>
        <w:ind w:left="54" w:right="12" w:firstLine="621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纳入榆树市科学技术协会202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3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年度部门决算编制范围的单位包括：</w:t>
      </w:r>
    </w:p>
    <w:p w14:paraId="5E44EBF0">
      <w:pPr>
        <w:spacing w:before="247" w:line="356" w:lineRule="auto"/>
        <w:ind w:left="54" w:right="12" w:firstLine="62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榆树市科学技术协会本级门决算编制范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围的单位包括：</w:t>
      </w:r>
    </w:p>
    <w:p w14:paraId="0E9A15F4">
      <w:pPr>
        <w:spacing w:before="53" w:line="222" w:lineRule="auto"/>
        <w:ind w:left="69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1.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榆树市科学技术协会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本级</w:t>
      </w:r>
    </w:p>
    <w:p w14:paraId="6960B3FA">
      <w:pPr>
        <w:pStyle w:val="2"/>
        <w:spacing w:line="446" w:lineRule="auto"/>
        <w:rPr>
          <w:rFonts w:hint="default" w:ascii="Times New Roman" w:hAnsi="Times New Roman" w:eastAsia="仿宋_GB2312" w:cs="Times New Roman"/>
        </w:rPr>
      </w:pPr>
    </w:p>
    <w:p w14:paraId="49E22FA5">
      <w:pPr>
        <w:pStyle w:val="2"/>
        <w:spacing w:line="328" w:lineRule="auto"/>
        <w:rPr>
          <w:rFonts w:hint="default" w:ascii="Times New Roman" w:hAnsi="Times New Roman" w:eastAsia="仿宋_GB2312" w:cs="Times New Roman"/>
        </w:rPr>
      </w:pPr>
    </w:p>
    <w:p w14:paraId="54914966">
      <w:pPr>
        <w:pStyle w:val="2"/>
        <w:spacing w:line="328" w:lineRule="auto"/>
        <w:rPr>
          <w:rFonts w:hint="default" w:ascii="Times New Roman" w:hAnsi="Times New Roman" w:eastAsia="仿宋_GB2312" w:cs="Times New Roman"/>
        </w:rPr>
      </w:pPr>
    </w:p>
    <w:p w14:paraId="58BB9F70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  <w:r>
        <w:rPr>
          <w:rFonts w:hint="default" w:ascii="Times New Roman" w:hAnsi="Times New Roman" w:eastAsia="仿宋_GB2312" w:cs="Times New Roman"/>
          <w:b/>
          <w:bCs/>
          <w:sz w:val="44"/>
          <w:szCs w:val="44"/>
        </w:rPr>
        <w:t>第二部分</w:t>
      </w:r>
      <w:r>
        <w:rPr>
          <w:rFonts w:hint="default" w:ascii="Times New Roman" w:hAnsi="Times New Roman" w:eastAsia="仿宋_GB2312" w:cs="Times New Roman"/>
          <w:b/>
          <w:bCs/>
          <w:spacing w:val="111"/>
          <w:sz w:val="44"/>
          <w:szCs w:val="44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43"/>
          <w:szCs w:val="43"/>
        </w:rPr>
        <w:t>2023</w:t>
      </w:r>
      <w:r>
        <w:rPr>
          <w:rFonts w:hint="default" w:ascii="Times New Roman" w:hAnsi="Times New Roman" w:eastAsia="仿宋_GB2312" w:cs="Times New Roman"/>
          <w:b/>
          <w:bCs/>
          <w:spacing w:val="-103"/>
          <w:sz w:val="43"/>
          <w:szCs w:val="43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44"/>
          <w:szCs w:val="44"/>
        </w:rPr>
        <w:t>年度部门决算表</w:t>
      </w:r>
    </w:p>
    <w:p w14:paraId="119B479A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6FFB1F0A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64DB98DA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049805D1">
      <w:pPr>
        <w:spacing w:before="100" w:line="224" w:lineRule="auto"/>
        <w:ind w:left="672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一、收入支出决算总表</w:t>
      </w:r>
    </w:p>
    <w:p w14:paraId="3C274841">
      <w:pPr>
        <w:spacing w:before="101" w:line="5918" w:lineRule="exact"/>
        <w:ind w:firstLine="19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2090" cy="2573020"/>
            <wp:effectExtent l="0" t="0" r="3810" b="17780"/>
            <wp:docPr id="1" name="图片 1" descr="微信截图_20241030124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截图_2024103012433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5D8279">
      <w:pPr>
        <w:pStyle w:val="2"/>
        <w:spacing w:line="337" w:lineRule="auto"/>
        <w:rPr>
          <w:rFonts w:hint="default" w:ascii="Times New Roman" w:hAnsi="Times New Roman" w:eastAsia="仿宋_GB2312" w:cs="Times New Roman"/>
        </w:rPr>
      </w:pPr>
    </w:p>
    <w:p w14:paraId="6C295621">
      <w:pPr>
        <w:pStyle w:val="2"/>
        <w:spacing w:line="338" w:lineRule="auto"/>
        <w:rPr>
          <w:rFonts w:hint="default" w:ascii="Times New Roman" w:hAnsi="Times New Roman" w:eastAsia="仿宋_GB2312" w:cs="Times New Roman"/>
        </w:rPr>
      </w:pPr>
    </w:p>
    <w:p w14:paraId="242DA5D7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50F944CC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1853722F">
      <w:pPr>
        <w:spacing w:before="101" w:line="224" w:lineRule="auto"/>
        <w:ind w:left="672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二、收入决算表</w:t>
      </w:r>
    </w:p>
    <w:p w14:paraId="7BDC92B1">
      <w:pPr>
        <w:spacing w:before="209" w:line="5702" w:lineRule="exact"/>
        <w:ind w:firstLine="32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84470" cy="3362325"/>
            <wp:effectExtent l="0" t="0" r="11430" b="9525"/>
            <wp:docPr id="2" name="图片 2" descr="微信截图_20241030140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截图_2024103014033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447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9A83E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79C34615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5050687D">
      <w:pPr>
        <w:pStyle w:val="2"/>
        <w:spacing w:line="262" w:lineRule="auto"/>
        <w:rPr>
          <w:rFonts w:hint="default" w:ascii="Times New Roman" w:hAnsi="Times New Roman" w:eastAsia="仿宋_GB2312" w:cs="Times New Roman"/>
        </w:rPr>
      </w:pPr>
    </w:p>
    <w:p w14:paraId="53BA54A8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303520AF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6B3D0C4B">
      <w:pPr>
        <w:spacing w:before="101" w:line="224" w:lineRule="auto"/>
        <w:ind w:left="674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三、支出决算表</w:t>
      </w:r>
    </w:p>
    <w:p w14:paraId="4E6C9AC9">
      <w:pPr>
        <w:spacing w:before="151" w:line="240" w:lineRule="auto"/>
        <w:ind w:firstLine="240"/>
        <w:rPr>
          <w:rFonts w:hint="eastAsia" w:ascii="Times New Roman" w:hAnsi="Times New Roman" w:eastAsia="仿宋_GB2312" w:cs="Times New Roman"/>
          <w:lang w:eastAsia="zh-CN"/>
        </w:rPr>
      </w:pPr>
    </w:p>
    <w:p w14:paraId="3420DE16">
      <w:pPr>
        <w:pStyle w:val="2"/>
        <w:spacing w:line="242" w:lineRule="auto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2090" cy="3646805"/>
            <wp:effectExtent l="0" t="0" r="3810" b="10795"/>
            <wp:docPr id="10" name="图片 10" descr="微信截图_20241101090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截图_202411010909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3646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689B4">
      <w:pPr>
        <w:pStyle w:val="2"/>
        <w:spacing w:line="242" w:lineRule="auto"/>
        <w:rPr>
          <w:rFonts w:hint="default" w:ascii="Times New Roman" w:hAnsi="Times New Roman" w:eastAsia="仿宋_GB2312" w:cs="Times New Roman"/>
        </w:rPr>
      </w:pPr>
    </w:p>
    <w:p w14:paraId="14BB12BE">
      <w:pPr>
        <w:pStyle w:val="2"/>
        <w:spacing w:line="242" w:lineRule="auto"/>
        <w:rPr>
          <w:rFonts w:hint="default" w:ascii="Times New Roman" w:hAnsi="Times New Roman" w:eastAsia="仿宋_GB2312" w:cs="Times New Roman"/>
        </w:rPr>
      </w:pPr>
    </w:p>
    <w:p w14:paraId="7A4B38E9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11581714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530C070C">
      <w:pPr>
        <w:spacing w:before="101" w:line="224" w:lineRule="auto"/>
        <w:ind w:left="686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四、财政拨款收入支出决算总表</w:t>
      </w:r>
    </w:p>
    <w:p w14:paraId="48C941C6">
      <w:pPr>
        <w:pStyle w:val="2"/>
        <w:spacing w:line="245" w:lineRule="auto"/>
        <w:rPr>
          <w:rFonts w:hint="default" w:ascii="Times New Roman" w:hAnsi="Times New Roman" w:eastAsia="仿宋_GB2312" w:cs="Times New Roman"/>
        </w:rPr>
      </w:pPr>
    </w:p>
    <w:p w14:paraId="16F74708">
      <w:pPr>
        <w:spacing w:line="240" w:lineRule="auto"/>
        <w:ind w:firstLine="14"/>
        <w:rPr>
          <w:rFonts w:hint="eastAsia" w:ascii="Times New Roman" w:hAnsi="Times New Roman" w:eastAsia="仿宋_GB2312" w:cs="Times New Roman"/>
          <w:lang w:eastAsia="zh-CN"/>
        </w:rPr>
      </w:pPr>
    </w:p>
    <w:p w14:paraId="690F4172">
      <w:pPr>
        <w:spacing w:line="240" w:lineRule="auto"/>
        <w:ind w:firstLine="14"/>
        <w:rPr>
          <w:rFonts w:hint="eastAsia" w:ascii="Times New Roman" w:hAnsi="Times New Roman" w:eastAsia="仿宋_GB2312" w:cs="Times New Roman"/>
          <w:lang w:eastAsia="zh-CN"/>
        </w:rPr>
      </w:pPr>
    </w:p>
    <w:p w14:paraId="6ACED9A4">
      <w:pPr>
        <w:pStyle w:val="2"/>
        <w:spacing w:line="273" w:lineRule="auto"/>
        <w:rPr>
          <w:rFonts w:hint="default" w:ascii="Times New Roman" w:hAnsi="Times New Roman" w:eastAsia="仿宋_GB2312" w:cs="Times New Roman"/>
        </w:rPr>
      </w:pPr>
    </w:p>
    <w:p w14:paraId="10F72D8F">
      <w:pPr>
        <w:pStyle w:val="2"/>
        <w:spacing w:line="273" w:lineRule="auto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85740" cy="2102485"/>
            <wp:effectExtent l="0" t="0" r="10160" b="12065"/>
            <wp:docPr id="9" name="图片 9" descr="微信截图_202411010908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截图_2024110109084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5740" cy="210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DA8AD">
      <w:pPr>
        <w:pStyle w:val="2"/>
        <w:spacing w:line="274" w:lineRule="auto"/>
        <w:rPr>
          <w:rFonts w:hint="default" w:ascii="Times New Roman" w:hAnsi="Times New Roman" w:eastAsia="仿宋_GB2312" w:cs="Times New Roman"/>
        </w:rPr>
      </w:pPr>
    </w:p>
    <w:p w14:paraId="15C0A21D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7C905D05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55033DF0">
      <w:pPr>
        <w:spacing w:before="100" w:line="224" w:lineRule="auto"/>
        <w:ind w:left="676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五、一般公共预算财政拨款支出决算表</w:t>
      </w:r>
    </w:p>
    <w:p w14:paraId="7C2EB42E">
      <w:pPr>
        <w:spacing w:before="229" w:line="240" w:lineRule="auto"/>
        <w:ind w:firstLine="1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2725" cy="3596640"/>
            <wp:effectExtent l="0" t="0" r="10795" b="0"/>
            <wp:docPr id="5" name="图片 5" descr="微信截图_20241031104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截图_2024103110424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92725" cy="359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E617F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3979D995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53EC257B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55694E97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5A4315AA">
      <w:pPr>
        <w:spacing w:before="100" w:line="224" w:lineRule="auto"/>
        <w:ind w:left="677"/>
        <w:rPr>
          <w:rFonts w:hint="eastAsia" w:ascii="Times New Roman" w:hAnsi="Times New Roman" w:eastAsia="仿宋_GB2312" w:cs="Times New Roman"/>
          <w:position w:val="-119"/>
          <w:lang w:eastAsia="zh-CN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六、一般公共预算财政拨款基本支出决算明细表</w:t>
      </w:r>
      <w:r>
        <w:rPr>
          <w:rFonts w:hint="eastAsia" w:ascii="Times New Roman" w:hAnsi="Times New Roman" w:eastAsia="仿宋_GB2312" w:cs="Times New Roman"/>
          <w:b/>
          <w:bCs/>
          <w:spacing w:val="8"/>
          <w:sz w:val="31"/>
          <w:szCs w:val="31"/>
          <w:lang w:val="en-US" w:eastAsia="zh-CN"/>
        </w:rPr>
        <w:t xml:space="preserve">  </w:t>
      </w:r>
      <w:bookmarkStart w:id="0" w:name="_GoBack"/>
      <w:bookmarkEnd w:id="0"/>
      <w:r>
        <w:rPr>
          <w:rFonts w:hint="eastAsia" w:ascii="Times New Roman" w:hAnsi="Times New Roman" w:eastAsia="仿宋_GB2312" w:cs="Times New Roman"/>
          <w:position w:val="-119"/>
          <w:lang w:eastAsia="zh-CN"/>
        </w:rPr>
        <w:drawing>
          <wp:inline distT="0" distB="0" distL="114300" distR="114300">
            <wp:extent cx="5292725" cy="2613025"/>
            <wp:effectExtent l="0" t="0" r="3175" b="15875"/>
            <wp:docPr id="6" name="图片 6" descr="微信截图_20241030125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截图_2024103012543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92725" cy="261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84009">
      <w:pPr>
        <w:spacing w:before="101" w:line="224" w:lineRule="auto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七、政府性基金预算财政拨款收入支出决算表</w:t>
      </w:r>
    </w:p>
    <w:p w14:paraId="2C2C9C7E">
      <w:pPr>
        <w:spacing w:before="235" w:line="4714" w:lineRule="exact"/>
        <w:ind w:firstLine="24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94"/>
        </w:rPr>
        <w:drawing>
          <wp:inline distT="0" distB="0" distL="0" distR="0">
            <wp:extent cx="4987925" cy="2993390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48F69">
      <w:pPr>
        <w:pStyle w:val="2"/>
        <w:spacing w:line="339" w:lineRule="auto"/>
        <w:ind w:firstLine="1800" w:firstLineChars="500"/>
        <w:rPr>
          <w:rFonts w:hint="default" w:ascii="Times New Roman" w:hAnsi="Times New Roman" w:eastAsia="仿宋_GB2312" w:cs="Times New Roman"/>
          <w:sz w:val="36"/>
          <w:szCs w:val="36"/>
          <w:lang w:val="en-US" w:eastAsia="zh-CN"/>
        </w:rPr>
      </w:pPr>
    </w:p>
    <w:p w14:paraId="3D2DAA6C">
      <w:pPr>
        <w:pStyle w:val="2"/>
        <w:spacing w:line="270" w:lineRule="auto"/>
        <w:ind w:firstLine="648" w:firstLineChars="200"/>
        <w:rPr>
          <w:rFonts w:hint="default" w:ascii="Times New Roman" w:hAnsi="Times New Roman" w:eastAsia="仿宋_GB2312" w:cs="Times New Roman"/>
          <w:color w:val="auto"/>
        </w:rPr>
      </w:pPr>
      <w:r>
        <w:rPr>
          <w:rFonts w:hint="default" w:ascii="Times New Roman" w:hAnsi="Times New Roman" w:eastAsia="仿宋_GB2312" w:cs="Times New Roman"/>
          <w:color w:val="auto"/>
          <w:spacing w:val="7"/>
          <w:sz w:val="31"/>
          <w:szCs w:val="31"/>
        </w:rPr>
        <w:t>本单位没有政府性基金预</w:t>
      </w:r>
      <w:r>
        <w:rPr>
          <w:rFonts w:hint="default" w:ascii="Times New Roman" w:hAnsi="Times New Roman" w:eastAsia="仿宋_GB2312" w:cs="Times New Roman"/>
          <w:color w:val="auto"/>
          <w:spacing w:val="6"/>
          <w:sz w:val="31"/>
          <w:szCs w:val="31"/>
        </w:rPr>
        <w:t>算财</w:t>
      </w:r>
      <w:r>
        <w:rPr>
          <w:rFonts w:hint="default" w:ascii="Times New Roman" w:hAnsi="Times New Roman" w:eastAsia="仿宋_GB2312" w:cs="Times New Roman"/>
          <w:color w:val="auto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color w:val="auto"/>
          <w:spacing w:val="4"/>
          <w:sz w:val="31"/>
          <w:szCs w:val="31"/>
        </w:rPr>
        <w:t>政拨款</w:t>
      </w:r>
    </w:p>
    <w:p w14:paraId="7F0DCCA5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762411DE">
      <w:pPr>
        <w:pStyle w:val="2"/>
        <w:spacing w:line="271" w:lineRule="auto"/>
        <w:rPr>
          <w:rFonts w:hint="default" w:ascii="Times New Roman" w:hAnsi="Times New Roman" w:eastAsia="仿宋_GB2312" w:cs="Times New Roman"/>
        </w:rPr>
      </w:pPr>
    </w:p>
    <w:p w14:paraId="76798BBB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53CB5EB7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3719B3BA">
      <w:pPr>
        <w:spacing w:before="101" w:line="224" w:lineRule="auto"/>
        <w:ind w:left="667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八、国有资本经营预算财政拨款支出决算表</w:t>
      </w:r>
    </w:p>
    <w:p w14:paraId="22201B03">
      <w:pPr>
        <w:spacing w:before="182" w:line="4817" w:lineRule="exact"/>
        <w:ind w:firstLine="28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96"/>
        </w:rPr>
        <w:drawing>
          <wp:inline distT="0" distB="0" distL="0" distR="0">
            <wp:extent cx="5254625" cy="3058160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5259" cy="305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C759A4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2B435748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02855C80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789D112A">
      <w:pPr>
        <w:pStyle w:val="2"/>
        <w:spacing w:line="270" w:lineRule="auto"/>
        <w:ind w:firstLine="648" w:firstLineChars="200"/>
        <w:rPr>
          <w:rFonts w:hint="default" w:ascii="Times New Roman" w:hAnsi="Times New Roman" w:eastAsia="仿宋_GB2312" w:cs="Times New Roman"/>
          <w:color w:val="auto"/>
          <w:spacing w:val="7"/>
          <w:sz w:val="31"/>
          <w:szCs w:val="31"/>
          <w:lang w:val="en-US" w:eastAsia="zh-CN"/>
        </w:rPr>
      </w:pPr>
      <w:r>
        <w:rPr>
          <w:rFonts w:hint="eastAsia" w:ascii="Times New Roman" w:hAnsi="Times New Roman" w:eastAsia="仿宋_GB2312" w:cs="Times New Roman"/>
          <w:color w:val="auto"/>
          <w:spacing w:val="7"/>
          <w:sz w:val="31"/>
          <w:szCs w:val="31"/>
          <w:lang w:val="en-US" w:eastAsia="zh-CN"/>
        </w:rPr>
        <w:t>本单位没有国有资本经营预算财政拨款</w:t>
      </w:r>
    </w:p>
    <w:p w14:paraId="19940AEE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7B3FC5D4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193F0D7C">
      <w:pPr>
        <w:spacing w:before="101" w:line="224" w:lineRule="auto"/>
        <w:ind w:left="675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九、财政拨款“三公”经费支出决算表</w:t>
      </w:r>
    </w:p>
    <w:p w14:paraId="5D4AFA36">
      <w:pPr>
        <w:spacing w:before="96" w:line="5302" w:lineRule="exact"/>
        <w:ind w:firstLine="237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106"/>
        </w:rPr>
        <w:drawing>
          <wp:inline distT="0" distB="0" distL="0" distR="0">
            <wp:extent cx="4991100" cy="3366770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36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9C354">
      <w:pPr>
        <w:pStyle w:val="2"/>
        <w:spacing w:line="270" w:lineRule="auto"/>
        <w:ind w:firstLine="648" w:firstLineChars="200"/>
        <w:rPr>
          <w:rFonts w:hint="default" w:ascii="Times New Roman" w:hAnsi="Times New Roman" w:eastAsia="仿宋_GB2312" w:cs="Times New Roman"/>
          <w:color w:val="auto"/>
          <w:spacing w:val="7"/>
          <w:sz w:val="31"/>
          <w:szCs w:val="31"/>
          <w:lang w:val="en-US" w:eastAsia="zh-CN"/>
        </w:rPr>
        <w:sectPr>
          <w:footerReference r:id="rId8" w:type="default"/>
          <w:pgSz w:w="11907" w:h="16839"/>
          <w:pgMar w:top="1431" w:right="1785" w:bottom="1153" w:left="1785" w:header="0" w:footer="965" w:gutter="0"/>
          <w:cols w:space="720" w:num="1"/>
        </w:sectPr>
      </w:pPr>
      <w:r>
        <w:rPr>
          <w:rFonts w:hint="eastAsia" w:ascii="Times New Roman" w:hAnsi="Times New Roman" w:eastAsia="仿宋_GB2312" w:cs="Times New Roman"/>
          <w:color w:val="auto"/>
          <w:spacing w:val="7"/>
          <w:sz w:val="31"/>
          <w:szCs w:val="31"/>
          <w:lang w:val="en-US" w:eastAsia="zh-CN"/>
        </w:rPr>
        <w:t>本单位没有财政拨款“三公”经费支出</w:t>
      </w:r>
    </w:p>
    <w:p w14:paraId="2F28ECD7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0B8BE36D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110DB8CC">
      <w:pPr>
        <w:spacing w:before="100" w:line="224" w:lineRule="auto"/>
        <w:ind w:left="3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十、部门预算项目支出绩效自评表</w:t>
      </w:r>
    </w:p>
    <w:p w14:paraId="3BEE6B58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11B069D8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31FFB476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1C98C645">
      <w:pPr>
        <w:spacing w:line="9847" w:lineRule="exact"/>
        <w:ind w:firstLine="297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196"/>
        </w:rPr>
        <w:drawing>
          <wp:inline distT="0" distB="0" distL="0" distR="0">
            <wp:extent cx="4912995" cy="6252210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13629" cy="6252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24E6A">
      <w:pPr>
        <w:spacing w:line="9847" w:lineRule="exact"/>
        <w:rPr>
          <w:rFonts w:hint="default" w:ascii="Times New Roman" w:hAnsi="Times New Roman" w:eastAsia="仿宋_GB2312" w:cs="Times New Roman"/>
        </w:rPr>
        <w:sectPr>
          <w:footerReference r:id="rId9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278F2DF3">
      <w:pPr>
        <w:spacing w:before="225" w:line="443" w:lineRule="exact"/>
        <w:ind w:left="482"/>
        <w:outlineLvl w:val="0"/>
        <w:rPr>
          <w:rFonts w:hint="default" w:ascii="Times New Roman" w:hAnsi="Times New Roman" w:eastAsia="仿宋_GB2312" w:cs="Times New Roman"/>
          <w:b/>
          <w:bCs/>
          <w:sz w:val="43"/>
          <w:szCs w:val="43"/>
        </w:rPr>
      </w:pPr>
      <w:r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  <w:t>第三部分</w:t>
      </w:r>
      <w:r>
        <w:rPr>
          <w:rFonts w:hint="default" w:ascii="Times New Roman" w:hAnsi="Times New Roman" w:eastAsia="仿宋_GB2312" w:cs="Times New Roman"/>
          <w:b/>
          <w:bCs/>
          <w:spacing w:val="103"/>
          <w:position w:val="-2"/>
          <w:sz w:val="43"/>
          <w:szCs w:val="43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  <w:t>2023年度部门决算情况说明</w:t>
      </w:r>
    </w:p>
    <w:p w14:paraId="7618D48F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6C67058D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121AA8A0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2B33EA9F">
      <w:pPr>
        <w:spacing w:before="101" w:line="224" w:lineRule="auto"/>
        <w:ind w:left="672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一、收入支出决算总体情况说明</w:t>
      </w:r>
    </w:p>
    <w:p w14:paraId="7A8EF361">
      <w:pPr>
        <w:spacing w:before="248" w:line="362" w:lineRule="auto"/>
        <w:ind w:left="36" w:right="113" w:firstLine="634"/>
        <w:rPr>
          <w:rFonts w:hint="eastAsia" w:ascii="Times New Roman" w:hAnsi="Times New Roman" w:eastAsia="仿宋_GB2312" w:cs="Times New Roman"/>
          <w:spacing w:val="-10"/>
          <w:sz w:val="36"/>
          <w:szCs w:val="36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2023</w:t>
      </w:r>
      <w:r>
        <w:rPr>
          <w:rFonts w:hint="default" w:ascii="Times New Roman" w:hAnsi="Times New Roman" w:eastAsia="仿宋_GB2312" w:cs="Times New Roman"/>
          <w:spacing w:val="-21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年度收、支总计均为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.21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万元。与</w:t>
      </w:r>
      <w:r>
        <w:rPr>
          <w:rFonts w:hint="default" w:ascii="Times New Roman" w:hAnsi="Times New Roman" w:eastAsia="仿宋_GB2312" w:cs="Times New Roman"/>
          <w:spacing w:val="-32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2022</w:t>
      </w:r>
      <w:r>
        <w:rPr>
          <w:rFonts w:hint="default" w:ascii="Times New Roman" w:hAnsi="Times New Roman" w:eastAsia="仿宋_GB2312" w:cs="Times New Roman"/>
          <w:spacing w:val="-35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年度相比，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收、支总计各增加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24.63</w:t>
      </w:r>
      <w:r>
        <w:rPr>
          <w:rFonts w:hint="default" w:ascii="Times New Roman" w:hAnsi="Times New Roman" w:eastAsia="仿宋_GB2312" w:cs="Times New Roman"/>
          <w:spacing w:val="32"/>
          <w:sz w:val="36"/>
          <w:szCs w:val="36"/>
        </w:rPr>
        <w:t xml:space="preserve"> 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万元，增长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32</w:t>
      </w:r>
      <w:r>
        <w:rPr>
          <w:rFonts w:hint="default" w:ascii="Times New Roman" w:hAnsi="Times New Roman" w:eastAsia="仿宋_GB2312" w:cs="Times New Roman"/>
          <w:spacing w:val="1"/>
          <w:sz w:val="36"/>
          <w:szCs w:val="36"/>
        </w:rPr>
        <w:t xml:space="preserve"> 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%。主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0"/>
          <w:sz w:val="36"/>
          <w:szCs w:val="36"/>
        </w:rPr>
        <w:t>要原因：</w:t>
      </w:r>
      <w:r>
        <w:rPr>
          <w:rFonts w:hint="default" w:ascii="Times New Roman" w:hAnsi="Times New Roman" w:eastAsia="仿宋_GB2312" w:cs="Times New Roman"/>
          <w:spacing w:val="-68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-10"/>
          <w:sz w:val="36"/>
          <w:szCs w:val="36"/>
          <w:lang w:val="en-US" w:eastAsia="zh-CN"/>
        </w:rPr>
        <w:t>增加养老保险缴费</w:t>
      </w:r>
    </w:p>
    <w:p w14:paraId="17E2DC7B">
      <w:pPr>
        <w:spacing w:before="248" w:line="362" w:lineRule="auto"/>
        <w:ind w:left="36" w:right="113" w:firstLine="634"/>
        <w:rPr>
          <w:rFonts w:hint="default" w:ascii="Times New Roman" w:hAnsi="Times New Roman" w:eastAsia="仿宋_GB2312" w:cs="Times New Roman"/>
          <w:spacing w:val="-10"/>
          <w:sz w:val="36"/>
          <w:szCs w:val="36"/>
          <w:lang w:val="en-US" w:eastAsia="zh-CN"/>
        </w:rPr>
      </w:pPr>
    </w:p>
    <w:p w14:paraId="4DB40C2D">
      <w:pPr>
        <w:spacing w:before="50" w:line="224" w:lineRule="auto"/>
        <w:ind w:left="672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二、收入决算情况说明</w:t>
      </w:r>
    </w:p>
    <w:p w14:paraId="143F5671">
      <w:pPr>
        <w:spacing w:before="253" w:line="368" w:lineRule="auto"/>
        <w:ind w:left="23" w:firstLine="644"/>
        <w:jc w:val="both"/>
        <w:rPr>
          <w:rFonts w:hint="default" w:ascii="Times New Roman" w:hAnsi="Times New Roman" w:eastAsia="仿宋_GB2312" w:cs="Times New Roman"/>
          <w:spacing w:val="4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本年收入合计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.21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万元，其中：财政拨款收入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24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24"/>
          <w:sz w:val="36"/>
          <w:szCs w:val="36"/>
          <w:lang w:val="en-US" w:eastAsia="zh-CN"/>
        </w:rPr>
        <w:t>.21</w:t>
      </w:r>
      <w:r>
        <w:rPr>
          <w:rFonts w:hint="default" w:ascii="Times New Roman" w:hAnsi="Times New Roman" w:eastAsia="仿宋_GB2312" w:cs="Times New Roman"/>
          <w:spacing w:val="24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-86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比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>上年增加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24.63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>万元，增长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32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 xml:space="preserve"> %，主要是</w:t>
      </w:r>
      <w:r>
        <w:rPr>
          <w:rFonts w:hint="eastAsia" w:ascii="Times New Roman" w:hAnsi="Times New Roman" w:eastAsia="仿宋_GB2312" w:cs="Times New Roman"/>
          <w:spacing w:val="-10"/>
          <w:sz w:val="36"/>
          <w:szCs w:val="36"/>
          <w:lang w:val="en-US" w:eastAsia="zh-CN"/>
        </w:rPr>
        <w:t>增加养老保险缴费</w:t>
      </w:r>
      <w:r>
        <w:rPr>
          <w:rFonts w:hint="default" w:ascii="Times New Roman" w:hAnsi="Times New Roman" w:eastAsia="仿宋_GB2312" w:cs="Times New Roman"/>
          <w:spacing w:val="-94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-94"/>
          <w:sz w:val="36"/>
          <w:szCs w:val="36"/>
          <w:lang w:eastAsia="zh-CN"/>
        </w:rPr>
        <w:t>；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>上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6"/>
          <w:szCs w:val="36"/>
        </w:rPr>
        <w:t>级补助收入</w:t>
      </w:r>
      <w:r>
        <w:rPr>
          <w:rFonts w:hint="default" w:ascii="Times New Roman" w:hAnsi="Times New Roman" w:eastAsia="仿宋_GB2312" w:cs="Times New Roman"/>
          <w:spacing w:val="44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44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6"/>
          <w:szCs w:val="36"/>
        </w:rPr>
        <w:t>万元，比上年增加（减少）</w:t>
      </w:r>
      <w:r>
        <w:rPr>
          <w:rFonts w:hint="eastAsia" w:ascii="Times New Roman" w:hAnsi="Times New Roman" w:eastAsia="仿宋_GB2312" w:cs="Times New Roman"/>
          <w:spacing w:val="-15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6"/>
          <w:szCs w:val="36"/>
        </w:rPr>
        <w:t>万元，增长（下降）</w:t>
      </w:r>
      <w:r>
        <w:rPr>
          <w:rFonts w:hint="eastAsia" w:ascii="Times New Roman" w:hAnsi="Times New Roman" w:eastAsia="仿宋_GB2312" w:cs="Times New Roman"/>
          <w:spacing w:val="-15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77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6"/>
          <w:szCs w:val="36"/>
        </w:rPr>
        <w:t>%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；事业收入 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-8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比上年增加（减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少）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增长（下降）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 %；经营收入 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-82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比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上年增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>加（减少）</w:t>
      </w:r>
      <w:r>
        <w:rPr>
          <w:rFonts w:hint="eastAsia" w:ascii="Times New Roman" w:hAnsi="Times New Roman" w:eastAsia="仿宋_GB2312" w:cs="Times New Roman"/>
          <w:spacing w:val="7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>万元，增长（下降）</w:t>
      </w:r>
      <w:r>
        <w:rPr>
          <w:rFonts w:hint="eastAsia" w:ascii="Times New Roman" w:hAnsi="Times New Roman" w:eastAsia="仿宋_GB2312" w:cs="Times New Roman"/>
          <w:spacing w:val="7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 xml:space="preserve"> %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>；附属单位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6"/>
          <w:szCs w:val="36"/>
        </w:rPr>
        <w:t>上缴收入</w:t>
      </w:r>
      <w:r>
        <w:rPr>
          <w:rFonts w:hint="eastAsia" w:ascii="Times New Roman" w:hAnsi="Times New Roman" w:eastAsia="仿宋_GB2312" w:cs="Times New Roman"/>
          <w:spacing w:val="-9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9"/>
          <w:sz w:val="36"/>
          <w:szCs w:val="36"/>
        </w:rPr>
        <w:t xml:space="preserve">  万元，比上年增加（减少）</w:t>
      </w:r>
      <w:r>
        <w:rPr>
          <w:rFonts w:hint="eastAsia" w:ascii="Times New Roman" w:hAnsi="Times New Roman" w:eastAsia="仿宋_GB2312" w:cs="Times New Roman"/>
          <w:spacing w:val="-9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9"/>
          <w:sz w:val="36"/>
          <w:szCs w:val="36"/>
        </w:rPr>
        <w:t>万元，增长（下降）</w:t>
      </w:r>
      <w:r>
        <w:rPr>
          <w:rFonts w:hint="eastAsia" w:ascii="Times New Roman" w:hAnsi="Times New Roman" w:eastAsia="仿宋_GB2312" w:cs="Times New Roman"/>
          <w:spacing w:val="-9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37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6"/>
          <w:szCs w:val="36"/>
        </w:rPr>
        <w:t>%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；其他收入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  万元，</w:t>
      </w:r>
      <w:r>
        <w:rPr>
          <w:rFonts w:hint="default" w:ascii="Times New Roman" w:hAnsi="Times New Roman" w:eastAsia="仿宋_GB2312" w:cs="Times New Roman"/>
          <w:spacing w:val="-8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比上年增加（减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少）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增长（下降）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 %。</w:t>
      </w:r>
    </w:p>
    <w:p w14:paraId="39C23F6B">
      <w:pPr>
        <w:spacing w:before="253" w:line="368" w:lineRule="auto"/>
        <w:ind w:left="23" w:firstLine="644"/>
        <w:jc w:val="both"/>
        <w:rPr>
          <w:rFonts w:hint="default" w:ascii="Times New Roman" w:hAnsi="Times New Roman" w:eastAsia="仿宋_GB2312" w:cs="Times New Roman"/>
          <w:spacing w:val="4"/>
          <w:sz w:val="36"/>
          <w:szCs w:val="36"/>
        </w:rPr>
      </w:pPr>
    </w:p>
    <w:p w14:paraId="3C8777B3">
      <w:pPr>
        <w:spacing w:before="158" w:line="224" w:lineRule="auto"/>
        <w:ind w:left="674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三、支出决算情况说明</w:t>
      </w:r>
    </w:p>
    <w:p w14:paraId="1961AD32">
      <w:pPr>
        <w:spacing w:before="251" w:line="368" w:lineRule="auto"/>
        <w:ind w:left="21" w:firstLine="645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本年支出合计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100.21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 万元，其中：基本支出</w:t>
      </w:r>
      <w:r>
        <w:rPr>
          <w:rFonts w:hint="default" w:ascii="Times New Roman" w:hAnsi="Times New Roman" w:eastAsia="仿宋_GB2312" w:cs="Times New Roman"/>
          <w:spacing w:val="24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24"/>
          <w:sz w:val="36"/>
          <w:szCs w:val="36"/>
          <w:lang w:val="en-US" w:eastAsia="zh-CN"/>
        </w:rPr>
        <w:t>95</w:t>
      </w:r>
      <w:r>
        <w:rPr>
          <w:rFonts w:hint="default" w:ascii="Times New Roman" w:hAnsi="Times New Roman" w:eastAsia="仿宋_GB2312" w:cs="Times New Roman"/>
          <w:spacing w:val="24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24"/>
          <w:sz w:val="36"/>
          <w:szCs w:val="36"/>
          <w:lang w:val="en-US" w:eastAsia="zh-CN"/>
        </w:rPr>
        <w:t>.21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-86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比上年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>增加</w:t>
      </w:r>
      <w:r>
        <w:rPr>
          <w:rFonts w:hint="eastAsia" w:ascii="Times New Roman" w:hAnsi="Times New Roman" w:eastAsia="仿宋_GB2312" w:cs="Times New Roman"/>
          <w:spacing w:val="7"/>
          <w:sz w:val="36"/>
          <w:szCs w:val="36"/>
          <w:lang w:val="en-US" w:eastAsia="zh-CN"/>
        </w:rPr>
        <w:t>30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>万元，增长</w:t>
      </w:r>
      <w:r>
        <w:rPr>
          <w:rFonts w:hint="eastAsia" w:ascii="Times New Roman" w:hAnsi="Times New Roman" w:eastAsia="仿宋_GB2312" w:cs="Times New Roman"/>
          <w:spacing w:val="7"/>
          <w:sz w:val="36"/>
          <w:szCs w:val="36"/>
          <w:lang w:val="en-US" w:eastAsia="zh-CN"/>
        </w:rPr>
        <w:t>46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 xml:space="preserve"> %；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>项目支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出</w:t>
      </w:r>
      <w:r>
        <w:rPr>
          <w:rFonts w:hint="eastAsia" w:ascii="Times New Roman" w:hAnsi="Times New Roman" w:eastAsia="仿宋_GB2312" w:cs="Times New Roman"/>
          <w:spacing w:val="47"/>
          <w:sz w:val="36"/>
          <w:szCs w:val="36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-78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比上年（减少）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5.36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万元，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减少51</w:t>
      </w:r>
      <w:r>
        <w:rPr>
          <w:rFonts w:hint="default" w:ascii="Times New Roman" w:hAnsi="Times New Roman" w:eastAsia="仿宋_GB2312" w:cs="Times New Roman"/>
          <w:spacing w:val="52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%</w:t>
      </w:r>
      <w:r>
        <w:rPr>
          <w:rFonts w:hint="default" w:ascii="Times New Roman" w:hAnsi="Times New Roman" w:eastAsia="仿宋_GB2312" w:cs="Times New Roman"/>
          <w:spacing w:val="-2"/>
          <w:sz w:val="36"/>
          <w:szCs w:val="36"/>
        </w:rPr>
        <w:t xml:space="preserve">；上缴上级支出 </w:t>
      </w:r>
      <w:r>
        <w:rPr>
          <w:rFonts w:hint="eastAsia" w:ascii="Times New Roman" w:hAnsi="Times New Roman" w:eastAsia="仿宋_GB2312" w:cs="Times New Roman"/>
          <w:spacing w:val="-2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2"/>
          <w:sz w:val="36"/>
          <w:szCs w:val="36"/>
        </w:rPr>
        <w:t xml:space="preserve"> 万元，比上年增加（减少）</w:t>
      </w:r>
      <w:r>
        <w:rPr>
          <w:rFonts w:hint="eastAsia" w:ascii="Times New Roman" w:hAnsi="Times New Roman" w:eastAsia="仿宋_GB2312" w:cs="Times New Roman"/>
          <w:spacing w:val="-2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2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6"/>
          <w:szCs w:val="36"/>
        </w:rPr>
        <w:t>增长（</w:t>
      </w:r>
      <w:r>
        <w:rPr>
          <w:rFonts w:hint="default" w:ascii="Times New Roman" w:hAnsi="Times New Roman" w:eastAsia="仿宋_GB2312" w:cs="Times New Roman"/>
          <w:spacing w:val="-78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6"/>
          <w:szCs w:val="36"/>
        </w:rPr>
        <w:t>下降）</w:t>
      </w:r>
      <w:r>
        <w:rPr>
          <w:rFonts w:hint="eastAsia" w:ascii="Times New Roman" w:hAnsi="Times New Roman" w:eastAsia="仿宋_GB2312" w:cs="Times New Roman"/>
          <w:spacing w:val="2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2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6"/>
          <w:szCs w:val="36"/>
        </w:rPr>
        <w:t>%；经营支出</w:t>
      </w:r>
      <w:r>
        <w:rPr>
          <w:rFonts w:hint="default" w:ascii="Times New Roman" w:hAnsi="Times New Roman" w:eastAsia="仿宋_GB2312" w:cs="Times New Roman"/>
          <w:spacing w:val="46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46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-77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6"/>
          <w:szCs w:val="36"/>
        </w:rPr>
        <w:t>比上年增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>加（减少）</w:t>
      </w:r>
      <w:r>
        <w:rPr>
          <w:rFonts w:hint="eastAsia" w:ascii="Times New Roman" w:hAnsi="Times New Roman" w:eastAsia="仿宋_GB2312" w:cs="Times New Roman"/>
          <w:spacing w:val="7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>万元，增长（下降）</w:t>
      </w:r>
      <w:r>
        <w:rPr>
          <w:rFonts w:hint="eastAsia" w:ascii="Times New Roman" w:hAnsi="Times New Roman" w:eastAsia="仿宋_GB2312" w:cs="Times New Roman"/>
          <w:spacing w:val="7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 xml:space="preserve"> %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>；对附属单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6"/>
          <w:szCs w:val="36"/>
        </w:rPr>
        <w:t>位补助支出</w:t>
      </w:r>
      <w:r>
        <w:rPr>
          <w:rFonts w:hint="eastAsia" w:ascii="Times New Roman" w:hAnsi="Times New Roman" w:eastAsia="仿宋_GB2312" w:cs="Times New Roman"/>
          <w:spacing w:val="-15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5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6"/>
          <w:szCs w:val="36"/>
        </w:rPr>
        <w:t>万元，比上年增加（减少）</w:t>
      </w:r>
      <w:r>
        <w:rPr>
          <w:rFonts w:hint="eastAsia" w:ascii="Times New Roman" w:hAnsi="Times New Roman" w:eastAsia="仿宋_GB2312" w:cs="Times New Roman"/>
          <w:spacing w:val="-15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6"/>
          <w:szCs w:val="36"/>
        </w:rPr>
        <w:t>万元，增长（下降）</w:t>
      </w:r>
      <w:r>
        <w:rPr>
          <w:rFonts w:hint="eastAsia" w:ascii="Times New Roman" w:hAnsi="Times New Roman" w:eastAsia="仿宋_GB2312" w:cs="Times New Roman"/>
          <w:spacing w:val="-15"/>
          <w:sz w:val="36"/>
          <w:szCs w:val="36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77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6"/>
          <w:szCs w:val="36"/>
        </w:rPr>
        <w:t>%</w:t>
      </w:r>
      <w:r>
        <w:rPr>
          <w:rFonts w:hint="default" w:ascii="Times New Roman" w:hAnsi="Times New Roman" w:eastAsia="仿宋_GB2312" w:cs="Times New Roman"/>
          <w:spacing w:val="-2"/>
          <w:sz w:val="36"/>
          <w:szCs w:val="36"/>
        </w:rPr>
        <w:t>。</w:t>
      </w:r>
    </w:p>
    <w:p w14:paraId="26F81FBE">
      <w:pPr>
        <w:pStyle w:val="2"/>
        <w:spacing w:line="285" w:lineRule="auto"/>
        <w:rPr>
          <w:rFonts w:hint="default" w:ascii="Times New Roman" w:hAnsi="Times New Roman" w:eastAsia="仿宋_GB2312" w:cs="Times New Roman"/>
          <w:sz w:val="36"/>
          <w:szCs w:val="36"/>
        </w:rPr>
      </w:pPr>
    </w:p>
    <w:p w14:paraId="6D75FF32">
      <w:pPr>
        <w:spacing w:before="101" w:line="224" w:lineRule="auto"/>
        <w:ind w:firstLine="752" w:firstLineChars="200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四、财政拨款收入支出决算总体情况说明</w:t>
      </w:r>
    </w:p>
    <w:p w14:paraId="6F2D654C">
      <w:pPr>
        <w:spacing w:before="248" w:line="362" w:lineRule="auto"/>
        <w:ind w:left="36" w:right="113" w:firstLine="634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>2023</w:t>
      </w:r>
      <w:r>
        <w:rPr>
          <w:rFonts w:hint="default" w:ascii="Times New Roman" w:hAnsi="Times New Roman" w:eastAsia="仿宋_GB2312" w:cs="Times New Roman"/>
          <w:spacing w:val="-37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 xml:space="preserve">年度财政拨款收、支总计均为  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100.21</w:t>
      </w:r>
      <w:r>
        <w:rPr>
          <w:rFonts w:hint="default" w:ascii="Times New Roman" w:hAnsi="Times New Roman" w:eastAsia="仿宋_GB2312" w:cs="Times New Roman"/>
          <w:spacing w:val="5"/>
          <w:sz w:val="36"/>
          <w:szCs w:val="36"/>
        </w:rPr>
        <w:t>万元，与</w:t>
      </w:r>
      <w:r>
        <w:rPr>
          <w:rFonts w:hint="default" w:ascii="Times New Roman" w:hAnsi="Times New Roman" w:eastAsia="仿宋_GB2312" w:cs="Times New Roman"/>
          <w:spacing w:val="-3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6"/>
          <w:szCs w:val="36"/>
        </w:rPr>
        <w:t>2022</w:t>
      </w:r>
      <w:r>
        <w:rPr>
          <w:rFonts w:hint="default" w:ascii="Times New Roman" w:hAnsi="Times New Roman" w:eastAsia="仿宋_GB2312" w:cs="Times New Roman"/>
          <w:spacing w:val="-37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6"/>
          <w:szCs w:val="36"/>
        </w:rPr>
        <w:t>年</w:t>
      </w:r>
      <w:r>
        <w:rPr>
          <w:rFonts w:hint="default" w:ascii="Times New Roman" w:hAnsi="Times New Roman" w:eastAsia="仿宋_GB2312" w:cs="Times New Roman"/>
          <w:spacing w:val="-9"/>
          <w:sz w:val="36"/>
          <w:szCs w:val="36"/>
        </w:rPr>
        <w:t>相比，财政拨款收、支总计各增加</w:t>
      </w:r>
      <w:r>
        <w:rPr>
          <w:rFonts w:hint="eastAsia" w:ascii="Times New Roman" w:hAnsi="Times New Roman" w:eastAsia="仿宋_GB2312" w:cs="Times New Roman"/>
          <w:spacing w:val="-9"/>
          <w:sz w:val="36"/>
          <w:szCs w:val="36"/>
          <w:lang w:val="en-US" w:eastAsia="zh-CN"/>
        </w:rPr>
        <w:t>24.63</w:t>
      </w:r>
      <w:r>
        <w:rPr>
          <w:rFonts w:hint="default" w:ascii="Times New Roman" w:hAnsi="Times New Roman" w:eastAsia="仿宋_GB2312" w:cs="Times New Roman"/>
          <w:spacing w:val="-9"/>
          <w:sz w:val="36"/>
          <w:szCs w:val="36"/>
        </w:rPr>
        <w:t xml:space="preserve">  万元，增长</w:t>
      </w:r>
      <w:r>
        <w:rPr>
          <w:rFonts w:hint="eastAsia" w:ascii="Times New Roman" w:hAnsi="Times New Roman" w:eastAsia="仿宋_GB2312" w:cs="Times New Roman"/>
          <w:spacing w:val="-9"/>
          <w:sz w:val="36"/>
          <w:szCs w:val="36"/>
          <w:lang w:val="en-US" w:eastAsia="zh-CN"/>
        </w:rPr>
        <w:t>32</w:t>
      </w:r>
      <w:r>
        <w:rPr>
          <w:rFonts w:hint="default" w:ascii="Times New Roman" w:hAnsi="Times New Roman" w:eastAsia="仿宋_GB2312" w:cs="Times New Roman"/>
          <w:spacing w:val="-1"/>
          <w:sz w:val="36"/>
          <w:szCs w:val="36"/>
        </w:rPr>
        <w:t xml:space="preserve"> %。主要原因</w:t>
      </w:r>
      <w:r>
        <w:rPr>
          <w:rFonts w:hint="default" w:ascii="Times New Roman" w:hAnsi="Times New Roman" w:eastAsia="仿宋_GB2312" w:cs="Times New Roman"/>
          <w:spacing w:val="-8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6"/>
          <w:szCs w:val="36"/>
        </w:rPr>
        <w:t>:</w:t>
      </w:r>
      <w:r>
        <w:rPr>
          <w:rFonts w:hint="eastAsia" w:ascii="Times New Roman" w:hAnsi="Times New Roman" w:eastAsia="仿宋_GB2312" w:cs="Times New Roman"/>
          <w:spacing w:val="-10"/>
          <w:sz w:val="36"/>
          <w:szCs w:val="36"/>
          <w:lang w:val="en-US" w:eastAsia="zh-CN"/>
        </w:rPr>
        <w:t>增加养老保险缴费</w:t>
      </w:r>
    </w:p>
    <w:p w14:paraId="72845EDB">
      <w:pPr>
        <w:pStyle w:val="2"/>
        <w:spacing w:line="286" w:lineRule="auto"/>
        <w:rPr>
          <w:rFonts w:hint="default" w:ascii="Times New Roman" w:hAnsi="Times New Roman" w:eastAsia="仿宋_GB2312" w:cs="Times New Roman"/>
          <w:sz w:val="36"/>
          <w:szCs w:val="36"/>
        </w:rPr>
      </w:pPr>
    </w:p>
    <w:p w14:paraId="13EE3661">
      <w:pPr>
        <w:spacing w:before="101" w:line="224" w:lineRule="auto"/>
        <w:ind w:left="676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五、一般公共预算财政拨款支出决算情况说明</w:t>
      </w:r>
    </w:p>
    <w:p w14:paraId="3919A08D">
      <w:pPr>
        <w:spacing w:before="248" w:line="223" w:lineRule="auto"/>
        <w:ind w:left="662"/>
        <w:outlineLvl w:val="2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b/>
          <w:bCs/>
          <w:spacing w:val="-1"/>
          <w:sz w:val="36"/>
          <w:szCs w:val="36"/>
        </w:rPr>
        <w:t>（</w:t>
      </w:r>
      <w:r>
        <w:rPr>
          <w:rFonts w:hint="default" w:ascii="Times New Roman" w:hAnsi="Times New Roman" w:eastAsia="仿宋_GB2312" w:cs="Times New Roman"/>
          <w:spacing w:val="-6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6"/>
          <w:szCs w:val="36"/>
        </w:rPr>
        <w:t>一</w:t>
      </w:r>
      <w:r>
        <w:rPr>
          <w:rFonts w:hint="default" w:ascii="Times New Roman" w:hAnsi="Times New Roman" w:eastAsia="仿宋_GB2312" w:cs="Times New Roman"/>
          <w:spacing w:val="-65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6"/>
          <w:szCs w:val="36"/>
        </w:rPr>
        <w:t>）一般公共预算财政拨款支出决算总体情况</w:t>
      </w:r>
    </w:p>
    <w:p w14:paraId="719CDE25">
      <w:pPr>
        <w:spacing w:before="248" w:line="362" w:lineRule="auto"/>
        <w:ind w:left="36" w:right="113" w:firstLine="634"/>
        <w:rPr>
          <w:rFonts w:hint="default" w:ascii="Times New Roman" w:hAnsi="Times New Roman" w:eastAsia="仿宋_GB2312" w:cs="Times New Roman"/>
          <w:spacing w:val="6"/>
          <w:sz w:val="36"/>
          <w:szCs w:val="36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>2023 年度一般公共预算财政拨款支出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100.21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 xml:space="preserve">  万元，占本年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支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 xml:space="preserve">出合计的 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 xml:space="preserve"> %。与 2022 年度相比，一般公共预算财政拨款支 出增加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24.63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 xml:space="preserve"> 万元，增长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32</w:t>
      </w:r>
      <w:r>
        <w:rPr>
          <w:rFonts w:hint="default" w:ascii="Times New Roman" w:hAnsi="Times New Roman" w:eastAsia="仿宋_GB2312" w:cs="Times New Roman"/>
          <w:spacing w:val="6"/>
          <w:sz w:val="36"/>
          <w:szCs w:val="36"/>
        </w:rPr>
        <w:t xml:space="preserve">  %。主要原因：</w:t>
      </w:r>
      <w:r>
        <w:rPr>
          <w:rFonts w:hint="eastAsia" w:ascii="Times New Roman" w:hAnsi="Times New Roman" w:eastAsia="仿宋_GB2312" w:cs="Times New Roman"/>
          <w:spacing w:val="6"/>
          <w:sz w:val="36"/>
          <w:szCs w:val="36"/>
          <w:lang w:val="en-US" w:eastAsia="zh-CN"/>
        </w:rPr>
        <w:t>增加养老保险缴费</w:t>
      </w:r>
    </w:p>
    <w:p w14:paraId="39D376B0">
      <w:pPr>
        <w:spacing w:before="51" w:line="223" w:lineRule="auto"/>
        <w:outlineLvl w:val="2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6"/>
          <w:szCs w:val="36"/>
        </w:rPr>
        <w:t>（二）</w:t>
      </w:r>
      <w:r>
        <w:rPr>
          <w:rFonts w:hint="default" w:ascii="Times New Roman" w:hAnsi="Times New Roman" w:eastAsia="仿宋_GB2312" w:cs="Times New Roman"/>
          <w:spacing w:val="-80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4"/>
          <w:sz w:val="36"/>
          <w:szCs w:val="36"/>
        </w:rPr>
        <w:t>一般公共预算财政拨款支出决算结构情况</w:t>
      </w:r>
    </w:p>
    <w:p w14:paraId="4BCE7D4E">
      <w:pPr>
        <w:spacing w:before="251" w:line="364" w:lineRule="auto"/>
        <w:ind w:left="68" w:right="7" w:firstLine="603"/>
        <w:jc w:val="both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2023</w:t>
      </w:r>
      <w:r>
        <w:rPr>
          <w:rFonts w:hint="default" w:ascii="Times New Roman" w:hAnsi="Times New Roman" w:eastAsia="仿宋_GB2312" w:cs="Times New Roman"/>
          <w:spacing w:val="-54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年度一般公共预算财政拨款支出 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100.21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万元，主要用于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6"/>
          <w:sz w:val="36"/>
          <w:szCs w:val="36"/>
        </w:rPr>
        <w:t xml:space="preserve">以下方面：一般公共服务支出  </w:t>
      </w:r>
      <w:r>
        <w:rPr>
          <w:rFonts w:hint="eastAsia" w:ascii="Times New Roman" w:hAnsi="Times New Roman" w:eastAsia="仿宋_GB2312" w:cs="Times New Roman"/>
          <w:spacing w:val="-6"/>
          <w:sz w:val="36"/>
          <w:szCs w:val="36"/>
          <w:lang w:val="en-US" w:eastAsia="zh-CN"/>
        </w:rPr>
        <w:t>1.67</w:t>
      </w:r>
      <w:r>
        <w:rPr>
          <w:rFonts w:hint="default" w:ascii="Times New Roman" w:hAnsi="Times New Roman" w:eastAsia="仿宋_GB2312" w:cs="Times New Roman"/>
          <w:spacing w:val="-6"/>
          <w:sz w:val="36"/>
          <w:szCs w:val="36"/>
        </w:rPr>
        <w:t xml:space="preserve">万元，占 </w:t>
      </w:r>
      <w:r>
        <w:rPr>
          <w:rFonts w:hint="eastAsia" w:ascii="Times New Roman" w:hAnsi="Times New Roman" w:eastAsia="仿宋_GB2312" w:cs="Times New Roman"/>
          <w:spacing w:val="-6"/>
          <w:sz w:val="36"/>
          <w:szCs w:val="36"/>
          <w:lang w:val="en-US" w:eastAsia="zh-CN"/>
        </w:rPr>
        <w:t>1.67</w:t>
      </w:r>
      <w:r>
        <w:rPr>
          <w:rFonts w:hint="default" w:ascii="Times New Roman" w:hAnsi="Times New Roman" w:eastAsia="仿宋_GB2312" w:cs="Times New Roman"/>
          <w:spacing w:val="-6"/>
          <w:sz w:val="36"/>
          <w:szCs w:val="36"/>
        </w:rPr>
        <w:t>%</w:t>
      </w:r>
      <w:r>
        <w:rPr>
          <w:rFonts w:hint="eastAsia" w:ascii="Times New Roman" w:hAnsi="Times New Roman" w:eastAsia="仿宋_GB2312" w:cs="Times New Roman"/>
          <w:spacing w:val="-6"/>
          <w:sz w:val="36"/>
          <w:szCs w:val="36"/>
          <w:lang w:eastAsia="zh-CN"/>
        </w:rPr>
        <w:t>，</w:t>
      </w:r>
      <w:r>
        <w:rPr>
          <w:rFonts w:hint="eastAsia" w:ascii="Times New Roman" w:hAnsi="Times New Roman" w:eastAsia="仿宋_GB2312" w:cs="Times New Roman"/>
          <w:spacing w:val="-6"/>
          <w:sz w:val="36"/>
          <w:szCs w:val="36"/>
          <w:lang w:val="en-US" w:eastAsia="zh-CN"/>
        </w:rPr>
        <w:t>社会保障</w:t>
      </w:r>
      <w:r>
        <w:rPr>
          <w:rFonts w:hint="default" w:ascii="Times New Roman" w:hAnsi="Times New Roman" w:eastAsia="仿宋_GB2312" w:cs="Times New Roman"/>
          <w:spacing w:val="-6"/>
          <w:sz w:val="36"/>
          <w:szCs w:val="36"/>
        </w:rPr>
        <w:t>支出</w:t>
      </w:r>
      <w:r>
        <w:rPr>
          <w:rFonts w:hint="default" w:ascii="Times New Roman" w:hAnsi="Times New Roman" w:eastAsia="仿宋_GB2312" w:cs="Times New Roman"/>
          <w:spacing w:val="20"/>
          <w:sz w:val="36"/>
          <w:szCs w:val="36"/>
        </w:rPr>
        <w:t xml:space="preserve">  </w:t>
      </w:r>
      <w:r>
        <w:rPr>
          <w:rFonts w:hint="eastAsia" w:ascii="Times New Roman" w:hAnsi="Times New Roman" w:eastAsia="仿宋_GB2312" w:cs="Times New Roman"/>
          <w:spacing w:val="20"/>
          <w:sz w:val="36"/>
          <w:szCs w:val="36"/>
          <w:lang w:val="en-US" w:eastAsia="zh-CN"/>
        </w:rPr>
        <w:t>14.79</w:t>
      </w:r>
      <w:r>
        <w:rPr>
          <w:rFonts w:hint="default" w:ascii="Times New Roman" w:hAnsi="Times New Roman" w:eastAsia="仿宋_GB2312" w:cs="Times New Roman"/>
          <w:spacing w:val="-6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占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14.79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 %；</w:t>
      </w:r>
      <w:r>
        <w:rPr>
          <w:rFonts w:hint="eastAsia" w:ascii="Times New Roman" w:hAnsi="Times New Roman" w:eastAsia="仿宋_GB2312" w:cs="Times New Roman"/>
          <w:sz w:val="36"/>
          <w:szCs w:val="36"/>
          <w:lang w:val="en-US" w:eastAsia="zh-CN"/>
        </w:rPr>
        <w:t>卫生健康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支出 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3.26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万元，占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3.2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%；</w:t>
      </w:r>
      <w:r>
        <w:rPr>
          <w:rFonts w:hint="eastAsia" w:ascii="Times New Roman" w:hAnsi="Times New Roman" w:eastAsia="仿宋_GB2312" w:cs="Times New Roman"/>
          <w:sz w:val="36"/>
          <w:szCs w:val="36"/>
          <w:lang w:val="en-US" w:eastAsia="zh-CN"/>
        </w:rPr>
        <w:t>住房保障</w:t>
      </w:r>
      <w:r>
        <w:rPr>
          <w:rFonts w:hint="default" w:ascii="Times New Roman" w:hAnsi="Times New Roman" w:eastAsia="仿宋_GB2312" w:cs="Times New Roman"/>
          <w:spacing w:val="-3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支出</w:t>
      </w:r>
      <w:r>
        <w:rPr>
          <w:rFonts w:hint="default" w:ascii="Times New Roman" w:hAnsi="Times New Roman" w:eastAsia="仿宋_GB2312" w:cs="Times New Roman"/>
          <w:spacing w:val="20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20"/>
          <w:sz w:val="36"/>
          <w:szCs w:val="36"/>
          <w:lang w:val="en-US" w:eastAsia="zh-CN"/>
        </w:rPr>
        <w:t>4.90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万元，占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4.90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%；</w:t>
      </w:r>
      <w:r>
        <w:rPr>
          <w:rFonts w:hint="eastAsia" w:ascii="Times New Roman" w:hAnsi="Times New Roman" w:eastAsia="仿宋_GB2312" w:cs="Times New Roman"/>
          <w:sz w:val="36"/>
          <w:szCs w:val="36"/>
          <w:lang w:val="en-US" w:eastAsia="zh-CN"/>
        </w:rPr>
        <w:t>科学技术</w:t>
      </w:r>
      <w:r>
        <w:rPr>
          <w:rFonts w:hint="default" w:ascii="Times New Roman" w:hAnsi="Times New Roman" w:eastAsia="仿宋_GB2312" w:cs="Times New Roman"/>
          <w:spacing w:val="-3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支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6"/>
          <w:sz w:val="36"/>
          <w:szCs w:val="36"/>
        </w:rPr>
        <w:t>出</w:t>
      </w:r>
      <w:r>
        <w:rPr>
          <w:rFonts w:hint="default" w:ascii="Times New Roman" w:hAnsi="Times New Roman" w:eastAsia="仿宋_GB2312" w:cs="Times New Roman"/>
          <w:spacing w:val="22"/>
          <w:sz w:val="36"/>
          <w:szCs w:val="36"/>
        </w:rPr>
        <w:t xml:space="preserve">  </w:t>
      </w:r>
      <w:r>
        <w:rPr>
          <w:rFonts w:hint="eastAsia" w:ascii="Times New Roman" w:hAnsi="Times New Roman" w:eastAsia="仿宋_GB2312" w:cs="Times New Roman"/>
          <w:spacing w:val="22"/>
          <w:sz w:val="36"/>
          <w:szCs w:val="36"/>
          <w:lang w:val="en-US" w:eastAsia="zh-CN"/>
        </w:rPr>
        <w:t>75.6</w:t>
      </w:r>
      <w:r>
        <w:rPr>
          <w:rFonts w:hint="default" w:ascii="Times New Roman" w:hAnsi="Times New Roman" w:eastAsia="仿宋_GB2312" w:cs="Times New Roman"/>
          <w:spacing w:val="-16"/>
          <w:sz w:val="36"/>
          <w:szCs w:val="36"/>
        </w:rPr>
        <w:t>万元，占</w:t>
      </w:r>
      <w:r>
        <w:rPr>
          <w:rFonts w:hint="default" w:ascii="Times New Roman" w:hAnsi="Times New Roman" w:eastAsia="仿宋_GB2312" w:cs="Times New Roman"/>
          <w:spacing w:val="60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60"/>
          <w:sz w:val="36"/>
          <w:szCs w:val="36"/>
          <w:lang w:val="en-US" w:eastAsia="zh-CN"/>
        </w:rPr>
        <w:t>75.60</w:t>
      </w:r>
      <w:r>
        <w:rPr>
          <w:rFonts w:hint="default" w:ascii="Times New Roman" w:hAnsi="Times New Roman" w:eastAsia="仿宋_GB2312" w:cs="Times New Roman"/>
          <w:spacing w:val="-16"/>
          <w:sz w:val="36"/>
          <w:szCs w:val="36"/>
        </w:rPr>
        <w:t>%；</w:t>
      </w:r>
      <w:r>
        <w:rPr>
          <w:rFonts w:hint="default" w:ascii="Times New Roman" w:hAnsi="Times New Roman" w:eastAsia="仿宋_GB2312" w:cs="Times New Roman"/>
          <w:spacing w:val="-80"/>
          <w:sz w:val="36"/>
          <w:szCs w:val="36"/>
        </w:rPr>
        <w:t xml:space="preserve"> </w:t>
      </w:r>
    </w:p>
    <w:p w14:paraId="41CF810B">
      <w:pPr>
        <w:spacing w:before="52" w:line="223" w:lineRule="auto"/>
        <w:ind w:left="659"/>
        <w:outlineLvl w:val="2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6"/>
          <w:szCs w:val="36"/>
        </w:rPr>
        <w:t>（三）</w:t>
      </w:r>
      <w:r>
        <w:rPr>
          <w:rFonts w:hint="default" w:ascii="Times New Roman" w:hAnsi="Times New Roman" w:eastAsia="仿宋_GB2312" w:cs="Times New Roman"/>
          <w:spacing w:val="-80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4"/>
          <w:sz w:val="36"/>
          <w:szCs w:val="36"/>
        </w:rPr>
        <w:t>一般公共预算财政拨款支出决算具体情况</w:t>
      </w:r>
    </w:p>
    <w:p w14:paraId="3565C6F2">
      <w:pPr>
        <w:spacing w:before="248" w:line="357" w:lineRule="auto"/>
        <w:ind w:left="38" w:right="86" w:firstLine="633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12"/>
          <w:sz w:val="36"/>
          <w:szCs w:val="36"/>
        </w:rPr>
        <w:t>2023 年度一般公共预算财政拨款支出年初预算为</w:t>
      </w:r>
      <w:r>
        <w:rPr>
          <w:rFonts w:hint="eastAsia" w:ascii="Times New Roman" w:hAnsi="Times New Roman" w:eastAsia="仿宋_GB2312" w:cs="Times New Roman"/>
          <w:spacing w:val="12"/>
          <w:sz w:val="36"/>
          <w:szCs w:val="36"/>
          <w:lang w:val="en-US" w:eastAsia="zh-CN"/>
        </w:rPr>
        <w:t>100.21</w:t>
      </w:r>
      <w:r>
        <w:rPr>
          <w:rFonts w:hint="default" w:ascii="Times New Roman" w:hAnsi="Times New Roman" w:eastAsia="仿宋_GB2312" w:cs="Times New Roman"/>
          <w:spacing w:val="33"/>
          <w:sz w:val="36"/>
          <w:szCs w:val="36"/>
        </w:rPr>
        <w:t xml:space="preserve">  </w:t>
      </w:r>
      <w:r>
        <w:rPr>
          <w:rFonts w:hint="default" w:ascii="Times New Roman" w:hAnsi="Times New Roman" w:eastAsia="仿宋_GB2312" w:cs="Times New Roman"/>
          <w:spacing w:val="12"/>
          <w:sz w:val="36"/>
          <w:szCs w:val="36"/>
        </w:rPr>
        <w:t>万</w:t>
      </w:r>
      <w:r>
        <w:rPr>
          <w:rFonts w:hint="default" w:ascii="Times New Roman" w:hAnsi="Times New Roman" w:eastAsia="仿宋_GB2312" w:cs="Times New Roman"/>
          <w:spacing w:val="1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元，支出决算为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100.21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  万元，完成年初预算的 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%。其中：</w:t>
      </w:r>
    </w:p>
    <w:p w14:paraId="5DF7B9BD">
      <w:pPr>
        <w:spacing w:before="54" w:line="361" w:lineRule="auto"/>
        <w:ind w:left="30" w:firstLine="660"/>
        <w:rPr>
          <w:rFonts w:hint="default" w:ascii="Times New Roman" w:hAnsi="Times New Roman" w:eastAsia="仿宋_GB2312" w:cs="Times New Roman"/>
          <w:sz w:val="36"/>
          <w:szCs w:val="36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-12"/>
          <w:sz w:val="36"/>
          <w:szCs w:val="36"/>
        </w:rPr>
        <w:t>1.一般公共服务</w:t>
      </w:r>
      <w:r>
        <w:rPr>
          <w:rFonts w:hint="eastAsia" w:ascii="Times New Roman" w:hAnsi="Times New Roman" w:eastAsia="仿宋_GB2312" w:cs="Times New Roman"/>
          <w:spacing w:val="-12"/>
          <w:sz w:val="36"/>
          <w:szCs w:val="36"/>
          <w:lang w:val="en-US" w:eastAsia="zh-CN"/>
        </w:rPr>
        <w:t>-群众团体事务-行政运行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20"/>
          <w:sz w:val="36"/>
          <w:szCs w:val="36"/>
        </w:rPr>
        <w:t>年初预算</w:t>
      </w:r>
      <w:r>
        <w:rPr>
          <w:rFonts w:hint="eastAsia" w:ascii="Times New Roman" w:hAnsi="Times New Roman" w:eastAsia="仿宋_GB2312" w:cs="Times New Roman"/>
          <w:spacing w:val="20"/>
          <w:sz w:val="36"/>
          <w:szCs w:val="36"/>
          <w:lang w:val="en-US" w:eastAsia="zh-CN"/>
        </w:rPr>
        <w:t>为</w:t>
      </w:r>
      <w:r>
        <w:rPr>
          <w:rFonts w:hint="default" w:ascii="Times New Roman" w:hAnsi="Times New Roman" w:eastAsia="仿宋_GB2312" w:cs="Times New Roman"/>
          <w:spacing w:val="59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59"/>
          <w:sz w:val="36"/>
          <w:szCs w:val="36"/>
          <w:lang w:val="en-US" w:eastAsia="zh-CN"/>
        </w:rPr>
        <w:t>1.67</w:t>
      </w:r>
      <w:r>
        <w:rPr>
          <w:rFonts w:hint="default" w:ascii="Times New Roman" w:hAnsi="Times New Roman" w:eastAsia="仿宋_GB2312" w:cs="Times New Roman"/>
          <w:spacing w:val="20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-7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20"/>
          <w:sz w:val="36"/>
          <w:szCs w:val="36"/>
        </w:rPr>
        <w:t>支出决算为</w:t>
      </w:r>
      <w:r>
        <w:rPr>
          <w:rFonts w:hint="eastAsia" w:ascii="Times New Roman" w:hAnsi="Times New Roman" w:eastAsia="仿宋_GB2312" w:cs="Times New Roman"/>
          <w:spacing w:val="20"/>
          <w:sz w:val="36"/>
          <w:szCs w:val="36"/>
          <w:lang w:val="en-US" w:eastAsia="zh-CN"/>
        </w:rPr>
        <w:t>1.67</w:t>
      </w:r>
      <w:r>
        <w:rPr>
          <w:rFonts w:hint="default" w:ascii="Times New Roman" w:hAnsi="Times New Roman" w:eastAsia="仿宋_GB2312" w:cs="Times New Roman"/>
          <w:spacing w:val="58"/>
          <w:sz w:val="36"/>
          <w:szCs w:val="36"/>
        </w:rPr>
        <w:t xml:space="preserve">  </w:t>
      </w:r>
      <w:r>
        <w:rPr>
          <w:rFonts w:hint="default" w:ascii="Times New Roman" w:hAnsi="Times New Roman" w:eastAsia="仿宋_GB2312" w:cs="Times New Roman"/>
          <w:spacing w:val="20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-63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20"/>
          <w:sz w:val="36"/>
          <w:szCs w:val="36"/>
        </w:rPr>
        <w:t>完成年初预算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的 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 xml:space="preserve"> %。</w:t>
      </w:r>
      <w:r>
        <w:rPr>
          <w:rFonts w:hint="default" w:ascii="Times New Roman" w:hAnsi="Times New Roman" w:eastAsia="仿宋_GB2312" w:cs="Times New Roman"/>
          <w:spacing w:val="-41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决算数大（小）于预算数的主要原因是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严格按预算执行。</w:t>
      </w:r>
    </w:p>
    <w:p w14:paraId="443D3127">
      <w:pPr>
        <w:spacing w:before="54" w:line="361" w:lineRule="auto"/>
        <w:ind w:left="30" w:firstLine="660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2.  </w:t>
      </w:r>
      <w:r>
        <w:rPr>
          <w:rFonts w:hint="eastAsia" w:ascii="Times New Roman" w:hAnsi="Times New Roman" w:eastAsia="仿宋_GB2312" w:cs="Times New Roman"/>
          <w:sz w:val="36"/>
          <w:szCs w:val="36"/>
          <w:lang w:val="en-US" w:eastAsia="zh-CN"/>
        </w:rPr>
        <w:t>社会保障和就业支出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。</w:t>
      </w:r>
      <w:r>
        <w:rPr>
          <w:rFonts w:hint="default" w:ascii="Times New Roman" w:hAnsi="Times New Roman" w:eastAsia="仿宋_GB2312" w:cs="Times New Roman"/>
          <w:spacing w:val="-67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年初预算为</w:t>
      </w:r>
      <w:r>
        <w:rPr>
          <w:rFonts w:hint="default" w:ascii="Times New Roman" w:hAnsi="Times New Roman" w:eastAsia="仿宋_GB2312" w:cs="Times New Roman"/>
          <w:spacing w:val="30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30"/>
          <w:sz w:val="36"/>
          <w:szCs w:val="36"/>
          <w:lang w:val="en-US" w:eastAsia="zh-CN"/>
        </w:rPr>
        <w:t>14.79</w:t>
      </w:r>
      <w:r>
        <w:rPr>
          <w:rFonts w:hint="default" w:ascii="Times New Roman" w:hAnsi="Times New Roman" w:eastAsia="仿宋_GB2312" w:cs="Times New Roman"/>
          <w:spacing w:val="30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万元，</w:t>
      </w:r>
      <w:r>
        <w:rPr>
          <w:rFonts w:hint="default" w:ascii="Times New Roman" w:hAnsi="Times New Roman" w:eastAsia="仿宋_GB2312" w:cs="Times New Roman"/>
          <w:spacing w:val="1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13"/>
          <w:sz w:val="36"/>
          <w:szCs w:val="36"/>
        </w:rPr>
        <w:t>支出决算为</w:t>
      </w:r>
      <w:r>
        <w:rPr>
          <w:rFonts w:hint="eastAsia" w:ascii="Times New Roman" w:hAnsi="Times New Roman" w:eastAsia="仿宋_GB2312" w:cs="Times New Roman"/>
          <w:spacing w:val="13"/>
          <w:sz w:val="36"/>
          <w:szCs w:val="36"/>
          <w:lang w:val="en-US" w:eastAsia="zh-CN"/>
        </w:rPr>
        <w:t>14.79</w:t>
      </w:r>
      <w:r>
        <w:rPr>
          <w:rFonts w:hint="default" w:ascii="Times New Roman" w:hAnsi="Times New Roman" w:eastAsia="仿宋_GB2312" w:cs="Times New Roman"/>
          <w:spacing w:val="13"/>
          <w:sz w:val="36"/>
          <w:szCs w:val="36"/>
        </w:rPr>
        <w:t xml:space="preserve"> 万元，完成年初预算的 </w:t>
      </w:r>
      <w:r>
        <w:rPr>
          <w:rFonts w:hint="eastAsia" w:ascii="Times New Roman" w:hAnsi="Times New Roman" w:eastAsia="仿宋_GB2312" w:cs="Times New Roman"/>
          <w:spacing w:val="13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13"/>
          <w:sz w:val="36"/>
          <w:szCs w:val="36"/>
        </w:rPr>
        <w:t xml:space="preserve"> %。决算数大（小）</w:t>
      </w: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6"/>
          <w:szCs w:val="36"/>
        </w:rPr>
        <w:t>于预算数的主要原因是</w:t>
      </w:r>
      <w:r>
        <w:rPr>
          <w:rFonts w:hint="eastAsia" w:ascii="Times New Roman" w:hAnsi="Times New Roman" w:eastAsia="仿宋_GB2312" w:cs="Times New Roman"/>
          <w:spacing w:val="4"/>
          <w:sz w:val="36"/>
          <w:szCs w:val="36"/>
          <w:lang w:val="en-US" w:eastAsia="zh-CN"/>
        </w:rPr>
        <w:t>严格按预算执行</w:t>
      </w:r>
      <w:r>
        <w:rPr>
          <w:rFonts w:hint="default" w:ascii="Times New Roman" w:hAnsi="Times New Roman" w:eastAsia="仿宋_GB2312" w:cs="Times New Roman"/>
          <w:spacing w:val="4"/>
          <w:sz w:val="36"/>
          <w:szCs w:val="36"/>
        </w:rPr>
        <w:t>。</w:t>
      </w:r>
    </w:p>
    <w:p w14:paraId="1339D600">
      <w:pPr>
        <w:spacing w:before="54" w:line="361" w:lineRule="auto"/>
        <w:ind w:left="30" w:firstLine="660"/>
        <w:rPr>
          <w:rFonts w:hint="default" w:ascii="Times New Roman" w:hAnsi="Times New Roman" w:eastAsia="仿宋_GB2312" w:cs="Times New Roman"/>
          <w:spacing w:val="3"/>
          <w:sz w:val="36"/>
          <w:szCs w:val="36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3.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卫生健康服务支出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>。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年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初预算为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3.26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 万元， 支出决算为 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3.26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万元，完成年初预算的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 %。决算数原因是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严格按预算执行。</w:t>
      </w:r>
    </w:p>
    <w:p w14:paraId="1FE387A7">
      <w:pPr>
        <w:spacing w:before="54" w:line="361" w:lineRule="auto"/>
        <w:ind w:left="30" w:firstLine="660"/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</w:pPr>
      <w:r>
        <w:rPr>
          <w:rFonts w:hint="eastAsia" w:ascii="Times New Roman" w:hAnsi="Times New Roman" w:eastAsia="仿宋_GB2312" w:cs="Times New Roman"/>
          <w:sz w:val="36"/>
          <w:szCs w:val="36"/>
          <w:lang w:val="en-US" w:eastAsia="zh-CN"/>
        </w:rPr>
        <w:t xml:space="preserve"> 4.科学技术支出75.6万元。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年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初预算为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75.6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万元， 支出决算为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75.6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万元，完成年初预算的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 %。决算数原因是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严格按预算执行。</w:t>
      </w:r>
    </w:p>
    <w:p w14:paraId="21E164CE">
      <w:pPr>
        <w:spacing w:before="54" w:line="361" w:lineRule="auto"/>
        <w:ind w:left="30" w:firstLine="660"/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</w:pP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5.住房保障支出4.9万元。年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初预算为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4.9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万元， 支出决算为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4.9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万元，完成年初预算的 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3"/>
          <w:sz w:val="36"/>
          <w:szCs w:val="36"/>
        </w:rPr>
        <w:t xml:space="preserve"> %。决算数原因是</w:t>
      </w:r>
      <w:r>
        <w:rPr>
          <w:rFonts w:hint="eastAsia" w:ascii="Times New Roman" w:hAnsi="Times New Roman" w:eastAsia="仿宋_GB2312" w:cs="Times New Roman"/>
          <w:spacing w:val="3"/>
          <w:sz w:val="36"/>
          <w:szCs w:val="36"/>
          <w:lang w:val="en-US" w:eastAsia="zh-CN"/>
        </w:rPr>
        <w:t>严格按预算执行。</w:t>
      </w:r>
    </w:p>
    <w:p w14:paraId="02BDCD77">
      <w:pPr>
        <w:spacing w:before="54" w:line="361" w:lineRule="auto"/>
        <w:ind w:left="30" w:firstLine="660"/>
        <w:rPr>
          <w:rFonts w:hint="default" w:ascii="Times New Roman" w:hAnsi="Times New Roman" w:eastAsia="仿宋_GB2312" w:cs="Times New Roman"/>
          <w:spacing w:val="3"/>
          <w:sz w:val="36"/>
          <w:szCs w:val="36"/>
          <w:lang w:val="en-US" w:eastAsia="zh-CN"/>
        </w:rPr>
      </w:pPr>
    </w:p>
    <w:p w14:paraId="5BD4C499">
      <w:pPr>
        <w:pStyle w:val="2"/>
        <w:spacing w:line="256" w:lineRule="auto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eastAsia" w:ascii="Times New Roman" w:hAnsi="Times New Roman" w:eastAsia="仿宋_GB2312" w:cs="Times New Roman"/>
          <w:sz w:val="36"/>
          <w:szCs w:val="36"/>
          <w:lang w:val="en-US" w:eastAsia="zh-CN"/>
        </w:rPr>
        <w:t xml:space="preserve">   </w:t>
      </w: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六、一般公共预算财政拨款基本支出决算情况说明</w:t>
      </w:r>
    </w:p>
    <w:p w14:paraId="6377EBD8">
      <w:pPr>
        <w:spacing w:before="247" w:line="357" w:lineRule="auto"/>
        <w:ind w:left="64" w:right="96" w:firstLine="607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spacing w:val="12"/>
          <w:sz w:val="36"/>
          <w:szCs w:val="36"/>
        </w:rPr>
        <w:t>2023年度一般公共预算财政拨款基本支出</w:t>
      </w:r>
      <w:r>
        <w:rPr>
          <w:rFonts w:hint="eastAsia" w:ascii="Times New Roman" w:hAnsi="Times New Roman" w:eastAsia="仿宋_GB2312" w:cs="Times New Roman"/>
          <w:spacing w:val="12"/>
          <w:sz w:val="36"/>
          <w:szCs w:val="36"/>
          <w:lang w:val="en-US" w:eastAsia="zh-CN"/>
        </w:rPr>
        <w:t>100.21</w:t>
      </w:r>
      <w:r>
        <w:rPr>
          <w:rFonts w:hint="default" w:ascii="Times New Roman" w:hAnsi="Times New Roman" w:eastAsia="仿宋_GB2312" w:cs="Times New Roman"/>
          <w:spacing w:val="33"/>
          <w:sz w:val="36"/>
          <w:szCs w:val="36"/>
        </w:rPr>
        <w:t xml:space="preserve">  </w:t>
      </w:r>
      <w:r>
        <w:rPr>
          <w:rFonts w:hint="default" w:ascii="Times New Roman" w:hAnsi="Times New Roman" w:eastAsia="仿宋_GB2312" w:cs="Times New Roman"/>
          <w:spacing w:val="12"/>
          <w:sz w:val="36"/>
          <w:szCs w:val="36"/>
        </w:rPr>
        <w:t>万元，其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-30"/>
          <w:sz w:val="36"/>
          <w:szCs w:val="36"/>
        </w:rPr>
        <w:t>中：</w:t>
      </w:r>
    </w:p>
    <w:p w14:paraId="4177905C">
      <w:pPr>
        <w:spacing w:before="53" w:line="367" w:lineRule="auto"/>
        <w:ind w:left="29" w:right="98" w:firstLine="643"/>
        <w:jc w:val="both"/>
        <w:rPr>
          <w:rFonts w:hint="default" w:ascii="Times New Roman" w:hAnsi="Times New Roman" w:eastAsia="仿宋_GB2312" w:cs="Times New Roman"/>
          <w:sz w:val="36"/>
          <w:szCs w:val="36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6"/>
          <w:szCs w:val="36"/>
        </w:rPr>
        <w:t>人员经费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 xml:space="preserve"> </w:t>
      </w:r>
      <w:r>
        <w:rPr>
          <w:rFonts w:hint="eastAsia" w:ascii="Times New Roman" w:hAnsi="Times New Roman" w:eastAsia="仿宋_GB2312" w:cs="Times New Roman"/>
          <w:spacing w:val="7"/>
          <w:sz w:val="36"/>
          <w:szCs w:val="36"/>
          <w:lang w:val="en-US" w:eastAsia="zh-CN"/>
        </w:rPr>
        <w:t>88.38</w:t>
      </w:r>
      <w:r>
        <w:rPr>
          <w:rFonts w:hint="default" w:ascii="Times New Roman" w:hAnsi="Times New Roman" w:eastAsia="仿宋_GB2312" w:cs="Times New Roman"/>
          <w:b/>
          <w:bCs/>
          <w:spacing w:val="7"/>
          <w:sz w:val="36"/>
          <w:szCs w:val="36"/>
        </w:rPr>
        <w:t>万元</w:t>
      </w:r>
      <w:r>
        <w:rPr>
          <w:rFonts w:hint="default" w:ascii="Times New Roman" w:hAnsi="Times New Roman" w:eastAsia="仿宋_GB2312" w:cs="Times New Roman"/>
          <w:spacing w:val="7"/>
          <w:sz w:val="36"/>
          <w:szCs w:val="36"/>
        </w:rPr>
        <w:t>，主要包括：基本工资、津贴补贴、奖</w:t>
      </w:r>
      <w:r>
        <w:rPr>
          <w:rFonts w:hint="default" w:ascii="Times New Roman" w:hAnsi="Times New Roman" w:eastAsia="仿宋_GB2312" w:cs="Times New Roman"/>
          <w:spacing w:val="12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6"/>
          <w:szCs w:val="36"/>
        </w:rPr>
        <w:t>金、机关事业单位基</w:t>
      </w: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本养老保险缴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6"/>
          <w:szCs w:val="36"/>
        </w:rPr>
        <w:t>费、职业年金缴费、职工基本医疗保险缴费</w:t>
      </w: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、</w:t>
      </w:r>
      <w:r>
        <w:rPr>
          <w:rFonts w:hint="default" w:ascii="Times New Roman" w:hAnsi="Times New Roman" w:eastAsia="仿宋_GB2312" w:cs="Times New Roman"/>
          <w:spacing w:val="5"/>
          <w:sz w:val="36"/>
          <w:szCs w:val="36"/>
        </w:rPr>
        <w:t>住房公积金、</w:t>
      </w:r>
      <w:r>
        <w:rPr>
          <w:rFonts w:hint="default" w:ascii="Times New Roman" w:hAnsi="Times New Roman" w:eastAsia="仿宋_GB2312" w:cs="Times New Roman"/>
          <w:spacing w:val="2"/>
          <w:sz w:val="36"/>
          <w:szCs w:val="36"/>
        </w:rPr>
        <w:t>抚恤金、</w:t>
      </w:r>
    </w:p>
    <w:p w14:paraId="60FB936B">
      <w:pPr>
        <w:spacing w:before="254" w:line="367" w:lineRule="auto"/>
        <w:ind w:left="26" w:firstLine="641"/>
        <w:rPr>
          <w:rFonts w:hint="eastAsia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spacing w:val="-1"/>
          <w:sz w:val="36"/>
          <w:szCs w:val="36"/>
        </w:rPr>
        <w:t>公用经费</w:t>
      </w:r>
      <w:r>
        <w:rPr>
          <w:rFonts w:hint="default" w:ascii="Times New Roman" w:hAnsi="Times New Roman" w:eastAsia="仿宋_GB2312" w:cs="Times New Roman"/>
          <w:spacing w:val="-1"/>
          <w:sz w:val="36"/>
          <w:szCs w:val="36"/>
        </w:rPr>
        <w:t xml:space="preserve">  </w:t>
      </w:r>
      <w:r>
        <w:rPr>
          <w:rFonts w:hint="eastAsia" w:ascii="Times New Roman" w:hAnsi="Times New Roman" w:eastAsia="仿宋_GB2312" w:cs="Times New Roman"/>
          <w:spacing w:val="-1"/>
          <w:sz w:val="36"/>
          <w:szCs w:val="36"/>
          <w:lang w:val="en-US" w:eastAsia="zh-CN"/>
        </w:rPr>
        <w:t>6.83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6"/>
          <w:szCs w:val="36"/>
        </w:rPr>
        <w:t>万元</w:t>
      </w:r>
      <w:r>
        <w:rPr>
          <w:rFonts w:hint="default" w:ascii="Times New Roman" w:hAnsi="Times New Roman" w:eastAsia="仿宋_GB2312" w:cs="Times New Roman"/>
          <w:spacing w:val="-1"/>
          <w:sz w:val="36"/>
          <w:szCs w:val="36"/>
        </w:rPr>
        <w:t>，主要包括：办公费、</w:t>
      </w: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差旅</w:t>
      </w:r>
      <w:r>
        <w:rPr>
          <w:rFonts w:hint="default" w:ascii="Times New Roman" w:hAnsi="Times New Roman" w:eastAsia="仿宋_GB2312" w:cs="Times New Roman"/>
          <w:sz w:val="36"/>
          <w:szCs w:val="36"/>
        </w:rPr>
        <w:t xml:space="preserve"> 费、</w:t>
      </w:r>
      <w:r>
        <w:rPr>
          <w:rFonts w:hint="default" w:ascii="Times New Roman" w:hAnsi="Times New Roman" w:eastAsia="仿宋_GB2312" w:cs="Times New Roman"/>
          <w:spacing w:val="9"/>
          <w:sz w:val="36"/>
          <w:szCs w:val="36"/>
        </w:rPr>
        <w:t>办公设备购置、专用设备购</w:t>
      </w:r>
      <w:r>
        <w:rPr>
          <w:rFonts w:hint="default" w:ascii="Times New Roman" w:hAnsi="Times New Roman" w:eastAsia="仿宋_GB2312" w:cs="Times New Roman"/>
          <w:spacing w:val="8"/>
          <w:sz w:val="36"/>
          <w:szCs w:val="36"/>
        </w:rPr>
        <w:t>置</w:t>
      </w:r>
      <w:r>
        <w:rPr>
          <w:rFonts w:hint="eastAsia" w:ascii="Times New Roman" w:hAnsi="Times New Roman" w:eastAsia="仿宋_GB2312" w:cs="Times New Roman"/>
          <w:spacing w:val="8"/>
          <w:sz w:val="36"/>
          <w:szCs w:val="36"/>
          <w:lang w:eastAsia="zh-CN"/>
        </w:rPr>
        <w:t>。</w:t>
      </w:r>
    </w:p>
    <w:p w14:paraId="2BED6918">
      <w:pPr>
        <w:spacing w:before="101" w:line="224" w:lineRule="auto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七、政府性基金预算财政拨款收入支出决算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情况说明</w:t>
      </w:r>
    </w:p>
    <w:p w14:paraId="0D4C3EC3">
      <w:pPr>
        <w:spacing w:before="246" w:line="366" w:lineRule="auto"/>
        <w:ind w:left="38" w:firstLine="47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3"/>
          <w:sz w:val="31"/>
          <w:szCs w:val="31"/>
        </w:rPr>
        <w:t>2023 年度政府性基金预算财政拨款年初结转和结余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z w:val="31"/>
          <w:szCs w:val="31"/>
        </w:rPr>
        <w:t>万元；本年收入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万元，比上年增加（减少）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z w:val="31"/>
          <w:szCs w:val="31"/>
        </w:rPr>
        <w:t>万元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，增长（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下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降）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%，主要是</w:t>
      </w:r>
      <w:r>
        <w:rPr>
          <w:rFonts w:hint="default" w:ascii="Times New Roman" w:hAnsi="Times New Roman" w:eastAsia="仿宋_GB2312" w:cs="Times New Roman"/>
          <w:spacing w:val="-9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……；本年支出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万元，</w:t>
      </w:r>
      <w:r>
        <w:rPr>
          <w:rFonts w:hint="default" w:ascii="Times New Roman" w:hAnsi="Times New Roman" w:eastAsia="仿宋_GB2312" w:cs="Times New Roman"/>
          <w:spacing w:val="-7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比上年增加（减少）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万元，增长（</w:t>
      </w:r>
      <w:r>
        <w:rPr>
          <w:rFonts w:hint="default" w:ascii="Times New Roman" w:hAnsi="Times New Roman" w:eastAsia="仿宋_GB2312" w:cs="Times New Roman"/>
          <w:spacing w:val="-7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下降）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9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；年末结转和结余</w:t>
      </w:r>
      <w:r>
        <w:rPr>
          <w:rFonts w:hint="default" w:ascii="Times New Roman" w:hAnsi="Times New Roman" w:eastAsia="仿宋_GB2312" w:cs="Times New Roman"/>
          <w:spacing w:val="4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元。支出具体情况如下：</w:t>
      </w:r>
    </w:p>
    <w:p w14:paraId="7D488F80">
      <w:pPr>
        <w:spacing w:before="50" w:line="322" w:lineRule="auto"/>
        <w:ind w:left="34" w:right="158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1.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64DCE7E9">
      <w:pPr>
        <w:spacing w:before="250" w:line="322" w:lineRule="auto"/>
        <w:ind w:left="34" w:right="159" w:firstLine="63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2.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188FEB08">
      <w:pPr>
        <w:spacing w:before="250" w:line="322" w:lineRule="auto"/>
        <w:ind w:left="34" w:right="158" w:firstLine="63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3.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万元，主要用于……。完成年初预算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5FBCEA55">
      <w:pPr>
        <w:spacing w:before="304" w:line="185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4.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……</w:t>
      </w:r>
    </w:p>
    <w:p w14:paraId="7B943F4E">
      <w:pPr>
        <w:bidi w:val="0"/>
        <w:jc w:val="left"/>
        <w:rPr>
          <w:rFonts w:hint="eastAsia"/>
          <w:lang w:val="en-US" w:eastAsia="zh-CN"/>
        </w:rPr>
        <w:sectPr>
          <w:footerReference r:id="rId10" w:type="default"/>
          <w:pgSz w:w="11907" w:h="16839"/>
          <w:pgMar w:top="1431" w:right="1699" w:bottom="1153" w:left="1785" w:header="0" w:footer="965" w:gutter="0"/>
          <w:cols w:space="720" w:num="1"/>
        </w:sectPr>
      </w:pPr>
    </w:p>
    <w:p w14:paraId="51A93968">
      <w:pPr>
        <w:spacing w:before="158" w:line="224" w:lineRule="auto"/>
        <w:ind w:left="74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八、国有资本经营预算财政拨款支出决算情况说明</w:t>
      </w:r>
    </w:p>
    <w:p w14:paraId="3F26B63F">
      <w:pPr>
        <w:spacing w:before="248" w:line="220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2023 年度国有资本经营预算年初结转和结余  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万元；</w:t>
      </w:r>
    </w:p>
    <w:p w14:paraId="00944993">
      <w:pPr>
        <w:spacing w:before="255" w:line="364" w:lineRule="auto"/>
        <w:ind w:left="23" w:firstLine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 xml:space="preserve">本年收入 </w:t>
      </w:r>
      <w:r>
        <w:rPr>
          <w:rFonts w:hint="eastAsia" w:ascii="Times New Roman" w:hAnsi="Times New Roman" w:eastAsia="仿宋_GB2312" w:cs="Times New Roman"/>
          <w:spacing w:val="-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万元，比上年增加（减少）</w:t>
      </w:r>
      <w:r>
        <w:rPr>
          <w:rFonts w:hint="eastAsia" w:ascii="Times New Roman" w:hAnsi="Times New Roman" w:eastAsia="仿宋_GB2312" w:cs="Times New Roman"/>
          <w:spacing w:val="-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万元，增长（下降）</w:t>
      </w:r>
      <w:r>
        <w:rPr>
          <w:rFonts w:hint="eastAsia" w:ascii="Times New Roman" w:hAnsi="Times New Roman" w:eastAsia="仿宋_GB2312" w:cs="Times New Roman"/>
          <w:spacing w:val="-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；本年支出</w:t>
      </w:r>
      <w:r>
        <w:rPr>
          <w:rFonts w:hint="default" w:ascii="Times New Roman" w:hAnsi="Times New Roman" w:eastAsia="仿宋_GB2312" w:cs="Times New Roman"/>
          <w:spacing w:val="49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比上年增加（减少）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-90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增长（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下降</w:t>
      </w:r>
      <w:r>
        <w:rPr>
          <w:rFonts w:hint="eastAsia" w:ascii="Times New Roman" w:hAnsi="Times New Roman" w:eastAsia="仿宋_GB2312" w:cs="Times New Roman"/>
          <w:spacing w:val="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）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9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；年末结转和结余</w:t>
      </w:r>
      <w:r>
        <w:rPr>
          <w:rFonts w:hint="default" w:ascii="Times New Roman" w:hAnsi="Times New Roman" w:eastAsia="仿宋_GB2312" w:cs="Times New Roman"/>
          <w:spacing w:val="48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万元。支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出具体情况如下：</w:t>
      </w:r>
    </w:p>
    <w:p w14:paraId="69083B90">
      <w:pPr>
        <w:spacing w:before="51" w:line="322" w:lineRule="auto"/>
        <w:ind w:left="33" w:right="84" w:firstLine="65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1.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7E987AE0">
      <w:pPr>
        <w:spacing w:before="249" w:line="322" w:lineRule="auto"/>
        <w:ind w:left="33" w:right="84" w:firstLine="6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2.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3BFE9880">
      <w:pPr>
        <w:spacing w:before="251" w:line="322" w:lineRule="auto"/>
        <w:ind w:left="33" w:right="84" w:firstLine="6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3.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72DBDE14">
      <w:pPr>
        <w:spacing w:before="303" w:line="185" w:lineRule="auto"/>
        <w:ind w:left="666"/>
        <w:rPr>
          <w:rFonts w:hint="default" w:ascii="Times New Roman" w:hAnsi="Times New Roman" w:eastAsia="仿宋_GB2312" w:cs="Times New Roman"/>
          <w:spacing w:val="-5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4.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……</w:t>
      </w:r>
    </w:p>
    <w:p w14:paraId="4100236B">
      <w:pPr>
        <w:spacing w:before="303" w:line="185" w:lineRule="auto"/>
        <w:ind w:left="666"/>
        <w:rPr>
          <w:rFonts w:hint="default" w:ascii="Times New Roman" w:hAnsi="Times New Roman" w:eastAsia="仿宋_GB2312" w:cs="Times New Roman"/>
          <w:spacing w:val="-5"/>
          <w:sz w:val="31"/>
          <w:szCs w:val="31"/>
        </w:rPr>
      </w:pPr>
    </w:p>
    <w:p w14:paraId="5F3B1AEA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44D5019E">
      <w:pPr>
        <w:spacing w:before="101" w:line="224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九、财政拨款“三公”经费支出决算情况说明</w:t>
      </w:r>
    </w:p>
    <w:p w14:paraId="0A8436C7">
      <w:pPr>
        <w:spacing w:before="249" w:line="223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一）“三公”经费财政拨款支出决算总体情况说明</w:t>
      </w:r>
    </w:p>
    <w:p w14:paraId="0327DE4C">
      <w:pPr>
        <w:spacing w:before="249" w:line="223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4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年度“三公”经费财政拨款支出预算为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万元，支</w:t>
      </w:r>
    </w:p>
    <w:p w14:paraId="67B9A6F6">
      <w:pPr>
        <w:spacing w:before="156" w:line="362" w:lineRule="auto"/>
        <w:ind w:left="41" w:firstLine="26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 xml:space="preserve">出决算为  </w:t>
      </w:r>
      <w:r>
        <w:rPr>
          <w:rFonts w:hint="eastAsia" w:ascii="Times New Roman" w:hAnsi="Times New Roman" w:eastAsia="仿宋_GB2312" w:cs="Times New Roman"/>
          <w:spacing w:val="-1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 xml:space="preserve">万元，完成预算的  </w:t>
      </w:r>
      <w:r>
        <w:rPr>
          <w:rFonts w:hint="eastAsia" w:ascii="Times New Roman" w:hAnsi="Times New Roman" w:eastAsia="仿宋_GB2312" w:cs="Times New Roman"/>
          <w:spacing w:val="-1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%；较</w:t>
      </w:r>
      <w:r>
        <w:rPr>
          <w:rFonts w:hint="default" w:ascii="Times New Roman" w:hAnsi="Times New Roman" w:eastAsia="仿宋_GB2312" w:cs="Times New Roman"/>
          <w:spacing w:val="-2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年度增加（减少）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万元，增长（下降） %，主要原因是</w:t>
      </w:r>
      <w:r>
        <w:rPr>
          <w:rFonts w:hint="default" w:ascii="Times New Roman" w:hAnsi="Times New Roman" w:eastAsia="仿宋_GB2312" w:cs="Times New Roman"/>
          <w:spacing w:val="-9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…。决算数大（小）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于预算数的主要原因</w:t>
      </w:r>
      <w:r>
        <w:rPr>
          <w:rFonts w:hint="default" w:ascii="Times New Roman" w:hAnsi="Times New Roman" w:eastAsia="仿宋_GB2312" w:cs="Times New Roman"/>
          <w:spacing w:val="-9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3F856B08">
      <w:pPr>
        <w:spacing w:before="50" w:line="223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（二）“三公”经费财政拨款支出决算具体情况说明</w:t>
      </w:r>
    </w:p>
    <w:p w14:paraId="43E88F94">
      <w:pPr>
        <w:spacing w:before="248" w:line="366" w:lineRule="auto"/>
        <w:ind w:left="23" w:right="74" w:firstLine="66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1.因公出国（境）费预算为 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万元,支出决算为</w:t>
      </w:r>
      <w:r>
        <w:rPr>
          <w:rFonts w:hint="default" w:ascii="Times New Roman" w:hAnsi="Times New Roman" w:eastAsia="仿宋_GB2312" w:cs="Times New Roman"/>
          <w:spacing w:val="20"/>
          <w:sz w:val="31"/>
          <w:szCs w:val="31"/>
        </w:rPr>
        <w:t xml:space="preserve">  </w:t>
      </w:r>
      <w:r>
        <w:rPr>
          <w:rFonts w:hint="eastAsia" w:ascii="Times New Roman" w:hAnsi="Times New Roman" w:eastAsia="仿宋_GB2312" w:cs="Times New Roman"/>
          <w:spacing w:val="20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完成预算的 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%；支出决算较</w:t>
      </w:r>
      <w:r>
        <w:rPr>
          <w:rFonts w:hint="default" w:ascii="Times New Roman" w:hAnsi="Times New Roman" w:eastAsia="仿宋_GB2312" w:cs="Times New Roman"/>
          <w:spacing w:val="-5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5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年度增加（减少）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万元，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增长（下降）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%，主要原因……。决算数大（小）于预算数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的主要原因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……。全年共有因公出国（境）</w:t>
      </w:r>
      <w:r>
        <w:rPr>
          <w:rFonts w:hint="default" w:ascii="Times New Roman" w:hAnsi="Times New Roman" w:eastAsia="仿宋_GB2312" w:cs="Times New Roman"/>
          <w:spacing w:val="-8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团组  个，</w:t>
      </w:r>
      <w:r>
        <w:rPr>
          <w:rFonts w:hint="default" w:ascii="Times New Roman" w:hAnsi="Times New Roman" w:eastAsia="仿宋_GB2312" w:cs="Times New Roman"/>
          <w:spacing w:val="-9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因公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出国（境）  人次。主要包括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…。</w:t>
      </w:r>
    </w:p>
    <w:p w14:paraId="6E8F9E9E">
      <w:pPr>
        <w:spacing w:before="57" w:line="364" w:lineRule="auto"/>
        <w:ind w:left="23" w:right="156" w:firstLine="64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 xml:space="preserve">2.公务用车购置及运行费预算为  </w:t>
      </w:r>
      <w:r>
        <w:rPr>
          <w:rFonts w:hint="eastAsia" w:ascii="Times New Roman" w:hAnsi="Times New Roman" w:eastAsia="仿宋_GB2312" w:cs="Times New Roman"/>
          <w:spacing w:val="21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万元</w:t>
      </w:r>
      <w:r>
        <w:rPr>
          <w:rFonts w:hint="default" w:ascii="Times New Roman" w:hAnsi="Times New Roman" w:eastAsia="仿宋_GB2312" w:cs="Times New Roman"/>
          <w:spacing w:val="20"/>
          <w:sz w:val="31"/>
          <w:szCs w:val="31"/>
        </w:rPr>
        <w:t>，支出决算为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万元，完成预算的  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%；较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6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年度增加（减少）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增长（下降）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%，主要原因……。决算数大（小）于预算数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的主要原因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…。其中：</w:t>
      </w:r>
    </w:p>
    <w:p w14:paraId="77DA9302">
      <w:pPr>
        <w:spacing w:before="49" w:line="221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公务用车购置费支出 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万元。主要是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…；截至 2023</w:t>
      </w:r>
    </w:p>
    <w:p w14:paraId="7F061B11">
      <w:pPr>
        <w:spacing w:before="253" w:line="221" w:lineRule="auto"/>
        <w:ind w:left="3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年 12 月 31 日，公务用车保有量为    </w:t>
      </w:r>
      <w:r>
        <w:rPr>
          <w:rFonts w:hint="eastAsia" w:ascii="Times New Roman" w:hAnsi="Times New Roman" w:eastAsia="仿宋_GB2312" w:cs="Times New Roman"/>
          <w:spacing w:val="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辆,公务用车购置数</w:t>
      </w:r>
    </w:p>
    <w:p w14:paraId="7420A9CD">
      <w:pPr>
        <w:spacing w:before="253" w:line="223" w:lineRule="auto"/>
        <w:ind w:left="3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为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 </w:t>
      </w:r>
      <w:r>
        <w:rPr>
          <w:rFonts w:hint="eastAsia" w:ascii="Times New Roman" w:hAnsi="Times New Roman" w:eastAsia="仿宋_GB2312" w:cs="Times New Roman"/>
          <w:spacing w:val="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辆。</w:t>
      </w:r>
    </w:p>
    <w:p w14:paraId="49A6B531">
      <w:pPr>
        <w:spacing w:before="54" w:line="221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公务用车运行维护费支出  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万元，主要是</w:t>
      </w:r>
      <w:r>
        <w:rPr>
          <w:rFonts w:hint="default" w:ascii="Times New Roman" w:hAnsi="Times New Roman" w:eastAsia="仿宋_GB2312" w:cs="Times New Roman"/>
          <w:spacing w:val="-8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6BF7DE96">
      <w:pPr>
        <w:spacing w:before="160" w:line="364" w:lineRule="auto"/>
        <w:ind w:left="21" w:right="3" w:firstLine="644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公务接待费预算为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 万元，支出决算为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 xml:space="preserve">  </w:t>
      </w:r>
      <w:r>
        <w:rPr>
          <w:rFonts w:hint="eastAsia" w:ascii="Times New Roman" w:hAnsi="Times New Roman" w:eastAsia="仿宋_GB2312" w:cs="Times New Roman"/>
          <w:spacing w:val="21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万元，完成预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 xml:space="preserve">算的 </w:t>
      </w:r>
      <w:r>
        <w:rPr>
          <w:rFonts w:hint="eastAsia" w:ascii="Times New Roman" w:hAnsi="Times New Roman" w:eastAsia="仿宋_GB2312" w:cs="Times New Roman"/>
          <w:spacing w:val="-1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 xml:space="preserve">  %；较</w:t>
      </w:r>
      <w:r>
        <w:rPr>
          <w:rFonts w:hint="default" w:ascii="Times New Roman" w:hAnsi="Times New Roman" w:eastAsia="仿宋_GB2312" w:cs="Times New Roman"/>
          <w:spacing w:val="-5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年度增加（减少）</w:t>
      </w:r>
      <w:r>
        <w:rPr>
          <w:rFonts w:hint="eastAsia" w:ascii="Times New Roman" w:hAnsi="Times New Roman" w:eastAsia="仿宋_GB2312" w:cs="Times New Roman"/>
          <w:spacing w:val="-1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 xml:space="preserve">   万元，增长（下降）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主要原因是</w:t>
      </w:r>
      <w:r>
        <w:rPr>
          <w:rFonts w:hint="default" w:ascii="Times New Roman" w:hAnsi="Times New Roman" w:eastAsia="仿宋_GB2312" w:cs="Times New Roman"/>
          <w:spacing w:val="-6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7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…。决算数大（小）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于预算数的主要原因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是</w:t>
      </w:r>
      <w:r>
        <w:rPr>
          <w:rFonts w:hint="default" w:ascii="Times New Roman" w:hAnsi="Times New Roman" w:eastAsia="仿宋_GB2312" w:cs="Times New Roman"/>
          <w:spacing w:val="-9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…。其中：</w:t>
      </w:r>
    </w:p>
    <w:p w14:paraId="74B2D04B">
      <w:pPr>
        <w:spacing w:before="52" w:line="361" w:lineRule="auto"/>
        <w:ind w:left="33" w:firstLine="649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外事接待费支出 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万元。主要用于……。全年共接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待外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事来访团组数</w:t>
      </w:r>
      <w:r>
        <w:rPr>
          <w:rFonts w:hint="eastAsia" w:ascii="Times New Roman" w:hAnsi="Times New Roman" w:eastAsia="仿宋_GB2312" w:cs="Times New Roman"/>
          <w:spacing w:val="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 xml:space="preserve">  个、来访外宾</w:t>
      </w:r>
      <w:r>
        <w:rPr>
          <w:rFonts w:hint="eastAsia" w:ascii="Times New Roman" w:hAnsi="Times New Roman" w:eastAsia="仿宋_GB2312" w:cs="Times New Roman"/>
          <w:spacing w:val="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 xml:space="preserve">   人次（不包括陪同人员）。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来访外宾主要包括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31ECCE9F">
      <w:pPr>
        <w:spacing w:before="53" w:line="362" w:lineRule="auto"/>
        <w:ind w:left="26" w:right="90" w:firstLine="640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其他国内公务接待支出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 万元。主要用于……。全年共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接待国内来访团组</w:t>
      </w:r>
      <w:r>
        <w:rPr>
          <w:rFonts w:hint="default" w:ascii="Times New Roman" w:hAnsi="Times New Roman" w:eastAsia="仿宋_GB2312" w:cs="Times New Roman"/>
          <w:spacing w:val="33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3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个、来宾</w:t>
      </w:r>
      <w:r>
        <w:rPr>
          <w:rFonts w:hint="eastAsia" w:ascii="Times New Roman" w:hAnsi="Times New Roman" w:eastAsia="仿宋_GB2312" w:cs="Times New Roman"/>
          <w:spacing w:val="2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人次（不包括陪同人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员） 。</w:t>
      </w:r>
    </w:p>
    <w:p w14:paraId="743C5D75">
      <w:pPr>
        <w:pStyle w:val="2"/>
        <w:spacing w:line="287" w:lineRule="auto"/>
        <w:rPr>
          <w:rFonts w:hint="default" w:ascii="Times New Roman" w:hAnsi="Times New Roman" w:eastAsia="仿宋_GB2312" w:cs="Times New Roman"/>
        </w:rPr>
      </w:pPr>
    </w:p>
    <w:p w14:paraId="6A962E8A">
      <w:pPr>
        <w:pStyle w:val="2"/>
        <w:spacing w:line="287" w:lineRule="auto"/>
        <w:rPr>
          <w:rFonts w:hint="default" w:ascii="Times New Roman" w:hAnsi="Times New Roman" w:eastAsia="仿宋_GB2312" w:cs="Times New Roman"/>
        </w:rPr>
      </w:pPr>
    </w:p>
    <w:p w14:paraId="7B46E57E">
      <w:pPr>
        <w:spacing w:before="101" w:line="224" w:lineRule="auto"/>
        <w:ind w:left="750"/>
        <w:outlineLvl w:val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十、关于</w:t>
      </w:r>
      <w:r>
        <w:rPr>
          <w:rFonts w:hint="default" w:ascii="Times New Roman" w:hAnsi="Times New Roman" w:eastAsia="仿宋_GB2312" w:cs="Times New Roman"/>
          <w:spacing w:val="-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年度绩效评价情况说明</w:t>
      </w:r>
    </w:p>
    <w:p w14:paraId="1BACAD00">
      <w:pPr>
        <w:spacing w:before="49" w:line="366" w:lineRule="auto"/>
        <w:ind w:left="21" w:right="107" w:firstLine="641"/>
        <w:rPr>
          <w:rFonts w:hint="eastAsia" w:ascii="Times New Roman" w:hAnsi="Times New Roman" w:eastAsia="仿宋_GB2312" w:cs="Times New Roman"/>
          <w:b/>
          <w:bCs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5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一）绩效评价工作开展情况。绩效评价工作开展情况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说明为：根据预算绩效管理要求，本部门组织对 2023 年度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一般公共预算项目支出全面开展绩效自评，其中，一级项目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个，二级项目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个，共涉及资金</w:t>
      </w:r>
      <w:r>
        <w:rPr>
          <w:rFonts w:hint="default" w:ascii="Times New Roman" w:hAnsi="Times New Roman" w:eastAsia="仿宋_GB2312" w:cs="Times New Roman"/>
          <w:spacing w:val="-2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万元，</w:t>
      </w:r>
      <w:r>
        <w:rPr>
          <w:rFonts w:hint="default" w:ascii="Times New Roman" w:hAnsi="Times New Roman" w:eastAsia="仿宋_GB2312" w:cs="Times New Roman"/>
          <w:spacing w:val="-7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占一般公共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预算项目支出总额的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%。组织对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年度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-4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等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XX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个政府性基金预算项目开展绩效自评，共涉及资金</w:t>
      </w:r>
      <w:r>
        <w:rPr>
          <w:rFonts w:hint="default" w:ascii="Times New Roman" w:hAnsi="Times New Roman" w:eastAsia="仿宋_GB2312" w:cs="Times New Roman"/>
          <w:spacing w:val="-4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占政府性基金预算项目支出总额的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%。组织对 2023 年度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XXX、XXX 等 XX 个国有资本经营预算项目开展绩效自评，共涉及资金XX 万元，占国有资本经营预算项目支出总额的XX%。组织对“XXX”“XXX”等 XX 个项目开展了部门绩效评 价，涉及一般公共预算支出 XX 万元，政府性基金预算支出 XX 万元，国有资本经营预算支出 X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</w:t>
      </w:r>
      <w:r>
        <w:rPr>
          <w:rFonts w:hint="default" w:ascii="Times New Roman" w:hAnsi="Times New Roman" w:eastAsia="仿宋_GB2312" w:cs="Times New Roman"/>
          <w:spacing w:val="5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>万元。从评价情况来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看，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组织对本部门开展整体支出绩效评价，涉及一般公共预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算支出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万元，政府性基金预算支出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万元。从评价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情况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1"/>
          <w:sz w:val="31"/>
          <w:szCs w:val="31"/>
        </w:rPr>
        <w:t>来看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…。</w:t>
      </w:r>
    </w:p>
    <w:p w14:paraId="6C069628">
      <w:pPr>
        <w:spacing w:before="253" w:line="356" w:lineRule="auto"/>
        <w:ind w:left="36" w:right="22" w:firstLine="62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（二）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项目绩效自评结果（如有）。除涉密敏感内容外，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省级部门原则上应予以公开。按照如下格式说明</w:t>
      </w:r>
      <w:r>
        <w:rPr>
          <w:rFonts w:hint="default" w:ascii="Times New Roman" w:hAnsi="Times New Roman" w:eastAsia="仿宋_GB2312" w:cs="Times New Roman"/>
          <w:spacing w:val="-8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:</w:t>
      </w:r>
    </w:p>
    <w:p w14:paraId="054B8D48">
      <w:pPr>
        <w:spacing w:before="49" w:line="366" w:lineRule="auto"/>
        <w:ind w:left="21" w:right="107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项目绩效自评情况：根据年初设定的绩效目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标，项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目绩效自评得分为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分。项目全年预算数为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万元，执行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数为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万元，完成预算的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%。项目绩效目标完成情况：一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是……；二是</w:t>
      </w:r>
      <w:r>
        <w:rPr>
          <w:rFonts w:hint="default" w:ascii="Times New Roman" w:hAnsi="Times New Roman" w:eastAsia="仿宋_GB2312" w:cs="Times New Roman"/>
          <w:spacing w:val="-8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2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。发现的主要问题及原因：一是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…；二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是……。下一步改进措施：一是……；二是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…。</w:t>
      </w:r>
    </w:p>
    <w:p w14:paraId="0018175B">
      <w:pPr>
        <w:spacing w:before="49" w:line="224" w:lineRule="auto"/>
        <w:ind w:left="66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-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项目绩效自评情况：</w:t>
      </w:r>
      <w:r>
        <w:rPr>
          <w:rFonts w:hint="default" w:ascii="Times New Roman" w:hAnsi="Times New Roman" w:eastAsia="仿宋_GB2312" w:cs="Times New Roman"/>
          <w:spacing w:val="-7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16E09D31">
      <w:pPr>
        <w:spacing w:before="250" w:line="364" w:lineRule="auto"/>
        <w:ind w:left="34" w:firstLine="62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（三）</w:t>
      </w:r>
      <w:r>
        <w:rPr>
          <w:rFonts w:hint="default" w:ascii="Times New Roman" w:hAnsi="Times New Roman" w:eastAsia="仿宋_GB2312" w:cs="Times New Roman"/>
          <w:spacing w:val="-3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部门评价结果（如有）。除涉密敏感内容外，省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级部门原则上应将部门评价结果以报告的形式予以公开。报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0"/>
          <w:sz w:val="31"/>
          <w:szCs w:val="31"/>
        </w:rPr>
        <w:t>告框架可参考《项目支出绩效评价管理办法》（吉财绩〔2022〕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711</w:t>
      </w:r>
      <w:r>
        <w:rPr>
          <w:rFonts w:hint="default" w:ascii="Times New Roman" w:hAnsi="Times New Roman" w:eastAsia="仿宋_GB2312" w:cs="Times New Roman"/>
          <w:spacing w:val="-3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号）中的《项目支出绩效评价报告（参考提纲）》。</w:t>
      </w:r>
    </w:p>
    <w:p w14:paraId="48AD17C6">
      <w:pPr>
        <w:spacing w:before="100" w:line="224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十一、其他重要事项情况说明</w:t>
      </w:r>
    </w:p>
    <w:p w14:paraId="685EF6F7">
      <w:pPr>
        <w:spacing w:before="248" w:line="222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7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一）机关运行经费执行情况说明</w:t>
      </w:r>
    </w:p>
    <w:p w14:paraId="5BDFF752">
      <w:pPr>
        <w:spacing w:before="251" w:line="357" w:lineRule="auto"/>
        <w:ind w:left="19" w:right="170" w:firstLine="65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2023年度机关运行经费支出  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6.83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万元，较2022年度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（减少</w:t>
      </w:r>
      <w:r>
        <w:rPr>
          <w:rFonts w:hint="eastAsia" w:ascii="Times New Roman" w:hAnsi="Times New Roman" w:eastAsia="仿宋_GB2312" w:cs="Times New Roman"/>
          <w:spacing w:val="-4"/>
          <w:sz w:val="31"/>
          <w:szCs w:val="31"/>
          <w:lang w:val="en-US" w:eastAsia="zh-CN"/>
        </w:rPr>
        <w:t>0.53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万元，降低</w:t>
      </w:r>
      <w:r>
        <w:rPr>
          <w:rFonts w:hint="eastAsia" w:ascii="Times New Roman" w:hAnsi="Times New Roman" w:eastAsia="仿宋_GB2312" w:cs="Times New Roman"/>
          <w:spacing w:val="-4"/>
          <w:sz w:val="31"/>
          <w:szCs w:val="31"/>
          <w:lang w:val="en-US" w:eastAsia="zh-CN"/>
        </w:rPr>
        <w:t>7.8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%，主要是</w:t>
      </w:r>
      <w:r>
        <w:rPr>
          <w:rFonts w:hint="eastAsia" w:ascii="Times New Roman" w:hAnsi="Times New Roman" w:eastAsia="仿宋_GB2312" w:cs="Times New Roman"/>
          <w:spacing w:val="-4"/>
          <w:sz w:val="31"/>
          <w:szCs w:val="31"/>
          <w:lang w:val="en-US" w:eastAsia="zh-CN"/>
        </w:rPr>
        <w:t>机关运行需求减少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。</w:t>
      </w:r>
    </w:p>
    <w:p w14:paraId="4C040826">
      <w:pPr>
        <w:spacing w:before="48" w:line="224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（二）政府采购支出情况说明</w:t>
      </w:r>
    </w:p>
    <w:p w14:paraId="2DE24EFB">
      <w:pPr>
        <w:spacing w:before="249" w:line="368" w:lineRule="auto"/>
        <w:ind w:left="29" w:right="24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2023 年度政府采购支出总额</w:t>
      </w:r>
      <w:r>
        <w:rPr>
          <w:rFonts w:hint="eastAsia" w:ascii="Times New Roman" w:hAnsi="Times New Roman" w:eastAsia="仿宋_GB2312" w:cs="Times New Roman"/>
          <w:spacing w:val="8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万元，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其中：政府采购货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物支出 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万元、政府采购工程支出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万元、政府采购服务支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出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万元。授予中小企业合同金额</w:t>
      </w:r>
      <w:r>
        <w:rPr>
          <w:rFonts w:hint="default" w:ascii="Times New Roman" w:hAnsi="Times New Roman" w:eastAsia="仿宋_GB2312" w:cs="Times New Roman"/>
          <w:spacing w:val="27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2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占政府采购支出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 xml:space="preserve">总额的 %，其中：授予小微企业合同金额  </w:t>
      </w:r>
      <w:r>
        <w:rPr>
          <w:rFonts w:hint="eastAsia" w:ascii="Times New Roman" w:hAnsi="Times New Roman" w:eastAsia="仿宋_GB2312" w:cs="Times New Roman"/>
          <w:spacing w:val="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占授予中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小企业合同金额的 %；货物采购授予中小企业合同金额占货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物支出金额的 %，工程采购授予中小企业合同金额占工程支</w:t>
      </w:r>
      <w:r>
        <w:rPr>
          <w:rFonts w:hint="default" w:ascii="Times New Roman" w:hAnsi="Times New Roman" w:eastAsia="仿宋_GB2312" w:cs="Times New Roman"/>
          <w:spacing w:val="1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出金额的 %，服务采购授予中小企业合同金额占服务支出金</w:t>
      </w:r>
      <w:r>
        <w:rPr>
          <w:rFonts w:hint="default" w:ascii="Times New Roman" w:hAnsi="Times New Roman" w:eastAsia="仿宋_GB2312" w:cs="Times New Roman"/>
          <w:spacing w:val="1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额的 %。</w:t>
      </w:r>
    </w:p>
    <w:p w14:paraId="241438D7">
      <w:pPr>
        <w:spacing w:before="48" w:line="224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（三）国有资产占用情况说明</w:t>
      </w:r>
    </w:p>
    <w:p w14:paraId="39CCA060">
      <w:pPr>
        <w:spacing w:before="286" w:line="340" w:lineRule="auto"/>
        <w:ind w:left="21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截至</w:t>
      </w:r>
      <w:r>
        <w:rPr>
          <w:rFonts w:hint="default" w:ascii="Times New Roman" w:hAnsi="Times New Roman" w:eastAsia="仿宋_GB2312" w:cs="Times New Roman"/>
          <w:spacing w:val="-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年 12 月</w:t>
      </w:r>
      <w:r>
        <w:rPr>
          <w:rFonts w:hint="default" w:ascii="Times New Roman" w:hAnsi="Times New Roman" w:eastAsia="仿宋_GB2312" w:cs="Times New Roman"/>
          <w:spacing w:val="-3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31 日，XXXX（部门标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准名称）共有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车辆 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辆，其中，副部（省）级及以上领导用车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辆、主</w:t>
      </w:r>
      <w:r>
        <w:rPr>
          <w:rFonts w:hint="default" w:ascii="Times New Roman" w:hAnsi="Times New Roman" w:eastAsia="仿宋_GB2312" w:cs="Times New Roman"/>
          <w:spacing w:val="1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要负责人用车</w:t>
      </w:r>
      <w:r>
        <w:rPr>
          <w:rFonts w:hint="default" w:ascii="Times New Roman" w:hAnsi="Times New Roman" w:eastAsia="仿宋_GB2312" w:cs="Times New Roman"/>
          <w:spacing w:val="-5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辆、机要通信用车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辆、应急保障用车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XX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辆、执法执勤用车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辆、特种专业技术用车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</w:t>
      </w:r>
      <w:r>
        <w:rPr>
          <w:rFonts w:hint="default" w:ascii="Times New Roman" w:hAnsi="Times New Roman" w:eastAsia="仿宋_GB2312" w:cs="Times New Roman"/>
          <w:spacing w:val="11"/>
          <w:sz w:val="31"/>
          <w:szCs w:val="31"/>
        </w:rPr>
        <w:t>、离退休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干部用车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辆、其他用车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辆，其他用车主要是……；单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位价值</w:t>
      </w:r>
      <w:r>
        <w:rPr>
          <w:rFonts w:hint="default" w:ascii="Times New Roman" w:hAnsi="Times New Roman" w:eastAsia="仿宋_GB2312" w:cs="Times New Roman"/>
          <w:spacing w:val="-2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100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万元（含）以上设备（不含车辆）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2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台（套）。</w:t>
      </w:r>
    </w:p>
    <w:p w14:paraId="032F03CC">
      <w:pPr>
        <w:spacing w:before="225" w:line="443" w:lineRule="exact"/>
        <w:ind w:left="2186"/>
        <w:outlineLvl w:val="0"/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</w:pPr>
    </w:p>
    <w:p w14:paraId="4F78EA7C">
      <w:pPr>
        <w:spacing w:before="225" w:line="443" w:lineRule="exact"/>
        <w:ind w:left="2186"/>
        <w:outlineLvl w:val="0"/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</w:pPr>
    </w:p>
    <w:p w14:paraId="4200ABCD">
      <w:pPr>
        <w:spacing w:before="225" w:line="443" w:lineRule="exact"/>
        <w:ind w:left="2186"/>
        <w:outlineLvl w:val="0"/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</w:pPr>
    </w:p>
    <w:p w14:paraId="00A71985">
      <w:pPr>
        <w:spacing w:before="225" w:line="443" w:lineRule="exact"/>
        <w:ind w:left="2186"/>
        <w:outlineLvl w:val="0"/>
        <w:rPr>
          <w:rFonts w:hint="default" w:ascii="Times New Roman" w:hAnsi="Times New Roman" w:eastAsia="仿宋_GB2312" w:cs="Times New Roman"/>
          <w:sz w:val="44"/>
          <w:szCs w:val="44"/>
        </w:rPr>
      </w:pPr>
      <w:r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  <w:t>第四部分</w:t>
      </w:r>
      <w:r>
        <w:rPr>
          <w:rFonts w:hint="default" w:ascii="Times New Roman" w:hAnsi="Times New Roman" w:eastAsia="仿宋_GB2312" w:cs="Times New Roman"/>
          <w:spacing w:val="24"/>
          <w:position w:val="-2"/>
          <w:sz w:val="44"/>
          <w:szCs w:val="44"/>
        </w:rPr>
        <w:t xml:space="preserve">   </w:t>
      </w:r>
      <w:r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  <w:t>名词解释</w:t>
      </w:r>
    </w:p>
    <w:p w14:paraId="1BDF87DC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5FD2E6C9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589BCA5A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2C7C9FA4">
      <w:pPr>
        <w:spacing w:before="100" w:line="297" w:lineRule="auto"/>
        <w:ind w:left="39" w:right="13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一、财政拨款收入：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指单位从同级财政部门取得的财政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预算资金。</w:t>
      </w:r>
    </w:p>
    <w:p w14:paraId="36A1FAD6">
      <w:pPr>
        <w:spacing w:before="250" w:line="297" w:lineRule="auto"/>
        <w:ind w:left="30" w:right="13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二、上级补助收入：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指从主管部门和上级单位取得的非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财政补助收入。</w:t>
      </w:r>
    </w:p>
    <w:p w14:paraId="33D50118">
      <w:pPr>
        <w:spacing w:before="249" w:line="298" w:lineRule="auto"/>
        <w:ind w:left="44" w:right="18" w:firstLine="649"/>
        <w:outlineLvl w:val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三、事业收入：指事业单位开展专业业务活动及辅助活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6"/>
          <w:sz w:val="31"/>
          <w:szCs w:val="31"/>
        </w:rPr>
        <w:t>动取得的收入。</w:t>
      </w:r>
    </w:p>
    <w:p w14:paraId="3DC72D4B">
      <w:pPr>
        <w:spacing w:before="249" w:line="297" w:lineRule="auto"/>
        <w:ind w:left="44" w:right="16" w:firstLine="66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四、经营收入：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指事业单位在专业业务活动及其辅助活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动之外开展非独立核算经营活动取得的收入。</w:t>
      </w:r>
    </w:p>
    <w:p w14:paraId="69A36075">
      <w:pPr>
        <w:spacing w:before="249" w:line="298" w:lineRule="auto"/>
        <w:ind w:left="28" w:right="13" w:firstLine="65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五、附属单位上缴收入：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指事业单位附属独立核算单位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按照有关规定上缴的收入。</w:t>
      </w:r>
    </w:p>
    <w:p w14:paraId="051F9D65">
      <w:pPr>
        <w:spacing w:before="246" w:line="347" w:lineRule="auto"/>
        <w:ind w:left="29" w:right="14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六、其他收入：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指除上述收入以外的各项收入。包括未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纳入财政预算或财政专户管理的投资收益、银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行存款利息收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入、租金收入、捐赠收入，现金盘盈收入、存货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盘盈收入、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收回已核销应收及预付款项、无法偿付的应付及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预收款项，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从省财政以外的同级单位取得的经费、从非省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财政取得的经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费，以及行政单位收到的财政专户管理资金等。</w:t>
      </w:r>
    </w:p>
    <w:p w14:paraId="28F77696">
      <w:pPr>
        <w:spacing w:before="252" w:line="322" w:lineRule="auto"/>
        <w:ind w:left="28" w:right="10" w:firstLine="6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5"/>
          <w:sz w:val="31"/>
          <w:szCs w:val="31"/>
        </w:rPr>
        <w:t>七、使用非财政拨款结余（含专用结余</w:t>
      </w:r>
      <w:r>
        <w:rPr>
          <w:rFonts w:hint="default" w:ascii="Times New Roman" w:hAnsi="Times New Roman" w:eastAsia="仿宋_GB2312" w:cs="Times New Roman"/>
          <w:b/>
          <w:bCs/>
          <w:spacing w:val="16"/>
          <w:sz w:val="31"/>
          <w:szCs w:val="31"/>
        </w:rPr>
        <w:t>）：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指事业单位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按照预算管理要求使用非财政拨款结余弥补收支差额的金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额，以及使用专用结余安排支出的金额。</w:t>
      </w:r>
    </w:p>
    <w:p w14:paraId="59AD5991">
      <w:pPr>
        <w:spacing w:before="249" w:line="220" w:lineRule="auto"/>
        <w:ind w:right="13"/>
        <w:jc w:val="right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八、年初结转和结余：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指单位以前年度尚未完成、结转</w:t>
      </w:r>
    </w:p>
    <w:p w14:paraId="58EB5646">
      <w:pPr>
        <w:spacing w:before="160" w:line="357" w:lineRule="auto"/>
        <w:ind w:left="46" w:right="189" w:hanging="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到本年按有关规定用途继续使用的资金，或项目已完成等产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生的结余资金。</w:t>
      </w:r>
    </w:p>
    <w:p w14:paraId="0DF65C76">
      <w:pPr>
        <w:spacing w:before="48" w:line="355" w:lineRule="auto"/>
        <w:ind w:left="32" w:right="155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九、结余分配：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指事业单位按照会计制度规定缴纳的所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得税、提取的专用结余以及转入非财政拨款结余的金额等。</w:t>
      </w:r>
    </w:p>
    <w:p w14:paraId="7B0774DD">
      <w:pPr>
        <w:spacing w:before="54" w:line="364" w:lineRule="auto"/>
        <w:ind w:left="29" w:right="153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十、年末结转和结余：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指单位按有关规定结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转到下年或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以后年度继续使用的资金，或项目已完成等产生的结余资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6"/>
          <w:sz w:val="31"/>
          <w:szCs w:val="31"/>
        </w:rPr>
        <w:t>金。</w:t>
      </w:r>
    </w:p>
    <w:p w14:paraId="06202E3E">
      <w:pPr>
        <w:spacing w:before="39" w:line="297" w:lineRule="auto"/>
        <w:ind w:left="30" w:right="153" w:firstLine="65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十一、基本支出：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指为保障机构正常运转、完成日常工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作任务而发生的人员支出和公用支出。</w:t>
      </w:r>
    </w:p>
    <w:p w14:paraId="1E7B864B">
      <w:pPr>
        <w:spacing w:before="250" w:line="298" w:lineRule="auto"/>
        <w:ind w:left="33" w:right="154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十二、项目支出：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指在基本支出之外为完成特定行政任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务或事业发展目标所发生的支出。</w:t>
      </w:r>
    </w:p>
    <w:p w14:paraId="42D1E76B">
      <w:pPr>
        <w:spacing w:before="249" w:line="297" w:lineRule="auto"/>
        <w:ind w:left="44" w:right="155" w:firstLine="63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十三、经营支出：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指事业单位在专业业务活动及其辅助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活动之外开展非独立核算经营活动发生的支出。</w:t>
      </w:r>
    </w:p>
    <w:p w14:paraId="3E6A2A96">
      <w:pPr>
        <w:spacing w:before="249" w:line="297" w:lineRule="auto"/>
        <w:ind w:left="40" w:right="153" w:firstLine="64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十四、上缴上级支出：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指事业单位按照有关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规定上缴上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级单位的支出。</w:t>
      </w:r>
    </w:p>
    <w:p w14:paraId="43F0EF87">
      <w:pPr>
        <w:spacing w:before="251" w:line="297" w:lineRule="auto"/>
        <w:ind w:left="29" w:right="152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十五、对附属单位补助支出：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指事业单位用财政补助收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入之外的收入对附属单位补助发生的支出。</w:t>
      </w:r>
    </w:p>
    <w:p w14:paraId="6D6E27D3">
      <w:pPr>
        <w:spacing w:before="252" w:line="342" w:lineRule="auto"/>
        <w:ind w:left="25" w:firstLine="65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十六、“三公”经费：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纳入省级财政预决算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管理的“三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公”经费，是指省级部门用财政拨款安排的因公出国（境）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费、公务用车购置及运行维护费和公务接待费。是党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政机关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维持运转或完成特定工作任务所开支的相关支出，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是政府行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-12"/>
          <w:sz w:val="31"/>
          <w:szCs w:val="31"/>
        </w:rPr>
        <w:t>政开支的一部分。其中，</w:t>
      </w:r>
      <w:r>
        <w:rPr>
          <w:rFonts w:hint="default" w:ascii="Times New Roman" w:hAnsi="Times New Roman" w:eastAsia="仿宋_GB2312" w:cs="Times New Roman"/>
          <w:spacing w:val="-4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2"/>
          <w:sz w:val="31"/>
          <w:szCs w:val="31"/>
        </w:rPr>
        <w:t>因公出国（境）费反映公</w:t>
      </w:r>
      <w:r>
        <w:rPr>
          <w:rFonts w:hint="default" w:ascii="Times New Roman" w:hAnsi="Times New Roman" w:eastAsia="仿宋_GB2312" w:cs="Times New Roman"/>
          <w:spacing w:val="-13"/>
          <w:sz w:val="31"/>
          <w:szCs w:val="31"/>
        </w:rPr>
        <w:t>务出国（境）</w:t>
      </w:r>
    </w:p>
    <w:p w14:paraId="23B15AB3">
      <w:pPr>
        <w:spacing w:line="342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1" w:type="default"/>
          <w:pgSz w:w="11907" w:h="16839"/>
          <w:pgMar w:top="1431" w:right="1646" w:bottom="1153" w:left="1785" w:header="0" w:footer="965" w:gutter="0"/>
          <w:cols w:space="720" w:num="1"/>
        </w:sectPr>
      </w:pPr>
    </w:p>
    <w:p w14:paraId="17AECE6B">
      <w:pPr>
        <w:spacing w:before="155" w:line="366" w:lineRule="auto"/>
        <w:ind w:left="25" w:firstLine="28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的国际旅费、国外城市间交通费、住宿费、伙食费、培训费、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公杂费等支出；公务用车购置及运行费反映单位公务用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车车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辆购置支出（含车辆购置税）及燃料费、维修费、过桥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过路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费、保险费、安全奖励费等支出；公务接待费反映单位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按规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定开支的各类公务接待（含外宾接待）支出。</w:t>
      </w:r>
    </w:p>
    <w:p w14:paraId="5FD4267E">
      <w:pPr>
        <w:spacing w:before="48" w:line="347" w:lineRule="auto"/>
        <w:ind w:left="26" w:right="93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十七、机关运行经费：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指为保障行政单位（包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括参照公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务员法管理的事业单位）运行用于购买货物和服务的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各项资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金，包括办公费、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印刷费、邮电费、差旅费、会议费、福利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费、日常维修费、专用材料及一般设备购置费、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办公用房水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电费、办公用房取暖费、办公用房物业管理费、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公务用车运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行维护费以及其他费用。</w:t>
      </w:r>
    </w:p>
    <w:p w14:paraId="57A1601D">
      <w:pPr>
        <w:spacing w:before="250" w:line="322" w:lineRule="auto"/>
        <w:ind w:left="43" w:right="93" w:firstLine="6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十八、******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（对部门使用的所有“项”级政府收支分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类科目，参照《2023年政府收支分类科目》中的科目说明和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中央部门决算公开内容进行说明</w:t>
      </w:r>
      <w:r>
        <w:rPr>
          <w:rFonts w:hint="default" w:ascii="Times New Roman" w:hAnsi="Times New Roman" w:eastAsia="仿宋_GB2312" w:cs="Times New Roman"/>
          <w:spacing w:val="19"/>
          <w:sz w:val="31"/>
          <w:szCs w:val="31"/>
        </w:rPr>
        <w:t>）：</w:t>
      </w:r>
    </w:p>
    <w:p w14:paraId="5BE6CC26">
      <w:pPr>
        <w:spacing w:before="250" w:line="224" w:lineRule="auto"/>
        <w:ind w:left="68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-8"/>
          <w:sz w:val="31"/>
          <w:szCs w:val="31"/>
        </w:rPr>
        <w:t>十九、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8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8"/>
          <w:sz w:val="31"/>
          <w:szCs w:val="31"/>
        </w:rPr>
        <w:t>…（同上）</w:t>
      </w:r>
    </w:p>
    <w:p w14:paraId="79817DE6">
      <w:pPr>
        <w:spacing w:before="249" w:line="355" w:lineRule="auto"/>
        <w:ind w:left="26" w:right="98" w:firstLine="648"/>
        <w:rPr>
          <w:rFonts w:hint="default" w:ascii="Times New Roman" w:hAnsi="Times New Roman" w:eastAsia="仿宋_GB2312" w:cs="Times New Roman"/>
          <w:color w:val="FF0000"/>
          <w:spacing w:val="5"/>
          <w:sz w:val="31"/>
          <w:szCs w:val="31"/>
        </w:rPr>
      </w:pPr>
    </w:p>
    <w:sectPr>
      <w:footerReference r:id="rId12" w:type="default"/>
      <w:pgSz w:w="11907" w:h="16839"/>
      <w:pgMar w:top="1431" w:right="1705" w:bottom="1153" w:left="1785" w:header="0" w:footer="965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1097F3D">
    <w:pPr>
      <w:spacing w:line="177" w:lineRule="auto"/>
      <w:ind w:left="413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E7EB65E">
    <w:pPr>
      <w:spacing w:line="177" w:lineRule="auto"/>
      <w:ind w:left="411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B2EE7A">
    <w:pPr>
      <w:spacing w:line="176" w:lineRule="auto"/>
      <w:ind w:left="4122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3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350960">
    <w:pPr>
      <w:spacing w:line="176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13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62686E">
    <w:pPr>
      <w:spacing w:line="177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14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3183F12">
    <w:pPr>
      <w:spacing w:line="176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18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8226D2D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26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465E29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OGJkM2RkYTAzZDNmMDhjYzU4MTM0NDQ3OGE2NzRhYzUifQ=="/>
  </w:docVars>
  <w:rsids>
    <w:rsidRoot w:val="00000000"/>
    <w:rsid w:val="055717CF"/>
    <w:rsid w:val="0D530A6B"/>
    <w:rsid w:val="10060813"/>
    <w:rsid w:val="16E22E2F"/>
    <w:rsid w:val="185C263F"/>
    <w:rsid w:val="1C84339D"/>
    <w:rsid w:val="22A54C3E"/>
    <w:rsid w:val="2324183F"/>
    <w:rsid w:val="24036DB2"/>
    <w:rsid w:val="242E5142"/>
    <w:rsid w:val="2A2B5C3E"/>
    <w:rsid w:val="4636173F"/>
    <w:rsid w:val="48EE6A1A"/>
    <w:rsid w:val="4B3E3A84"/>
    <w:rsid w:val="4D930C30"/>
    <w:rsid w:val="4DF0077A"/>
    <w:rsid w:val="51BD627C"/>
    <w:rsid w:val="51C074B8"/>
    <w:rsid w:val="5DF23AE8"/>
    <w:rsid w:val="5F847F2A"/>
    <w:rsid w:val="614F7493"/>
    <w:rsid w:val="61840B64"/>
    <w:rsid w:val="6349574E"/>
    <w:rsid w:val="65101772"/>
    <w:rsid w:val="6BF10808"/>
    <w:rsid w:val="76E77774"/>
    <w:rsid w:val="773834F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5">
    <w:name w:val="Default Paragraph Font"/>
    <w:link w:val="6"/>
    <w:qFormat/>
    <w:uiPriority w:val="0"/>
    <w:rPr>
      <w:rFonts w:eastAsia="宋体"/>
      <w:sz w:val="21"/>
      <w:szCs w:val="20"/>
    </w:rPr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customStyle="1" w:styleId="6">
    <w:name w:val=" Char"/>
    <w:basedOn w:val="1"/>
    <w:link w:val="5"/>
    <w:qFormat/>
    <w:uiPriority w:val="0"/>
    <w:pPr>
      <w:widowControl/>
      <w:spacing w:after="160" w:line="240" w:lineRule="exact"/>
      <w:jc w:val="left"/>
    </w:pPr>
    <w:rPr>
      <w:rFonts w:eastAsia="宋体"/>
      <w:sz w:val="21"/>
      <w:szCs w:val="20"/>
    </w:rPr>
  </w:style>
  <w:style w:type="character" w:styleId="7">
    <w:name w:val="page number"/>
    <w:basedOn w:val="5"/>
    <w:qFormat/>
    <w:uiPriority w:val="0"/>
  </w:style>
  <w:style w:type="table" w:customStyle="1" w:styleId="8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5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image" Target="media/image10.jpeg"/><Relationship Id="rId22" Type="http://schemas.openxmlformats.org/officeDocument/2006/relationships/image" Target="media/image9.jpeg"/><Relationship Id="rId21" Type="http://schemas.openxmlformats.org/officeDocument/2006/relationships/image" Target="media/image8.jpeg"/><Relationship Id="rId20" Type="http://schemas.openxmlformats.org/officeDocument/2006/relationships/image" Target="media/image7.jpeg"/><Relationship Id="rId2" Type="http://schemas.openxmlformats.org/officeDocument/2006/relationships/settings" Target="settings.xml"/><Relationship Id="rId19" Type="http://schemas.openxmlformats.org/officeDocument/2006/relationships/image" Target="media/image6.jpeg"/><Relationship Id="rId18" Type="http://schemas.openxmlformats.org/officeDocument/2006/relationships/image" Target="media/image5.jpeg"/><Relationship Id="rId17" Type="http://schemas.openxmlformats.org/officeDocument/2006/relationships/image" Target="media/image4.jpeg"/><Relationship Id="rId16" Type="http://schemas.openxmlformats.org/officeDocument/2006/relationships/image" Target="media/image3.jpeg"/><Relationship Id="rId15" Type="http://schemas.openxmlformats.org/officeDocument/2006/relationships/image" Target="media/image2.jpeg"/><Relationship Id="rId14" Type="http://schemas.openxmlformats.org/officeDocument/2006/relationships/image" Target="media/image1.jpeg"/><Relationship Id="rId13" Type="http://schemas.openxmlformats.org/officeDocument/2006/relationships/theme" Target="theme/theme1.xml"/><Relationship Id="rId12" Type="http://schemas.openxmlformats.org/officeDocument/2006/relationships/footer" Target="footer8.xml"/><Relationship Id="rId11" Type="http://schemas.openxmlformats.org/officeDocument/2006/relationships/footer" Target="footer7.xml"/><Relationship Id="rId10" Type="http://schemas.openxmlformats.org/officeDocument/2006/relationships/footer" Target="footer6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23</Pages>
  <Words>5642</Words>
  <Characters>6057</Characters>
  <TotalTime>6</TotalTime>
  <ScaleCrop>false</ScaleCrop>
  <LinksUpToDate>false</LinksUpToDate>
  <CharactersWithSpaces>6657</CharactersWithSpaces>
  <Application>WPS Office_12.1.0.18276_F1E327BC-269C-435d-A152-05C5408002CA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2024-08-07T08:54:00Z</dcterms:created>
  <dc:creator>王志强</dc:creator>
  <cp:lastModifiedBy>水晶</cp:lastModifiedBy>
  <cp:lastPrinted>2024-11-01T01:12:55Z</cp:lastPrinted>
  <dcterms:modified xsi:type="dcterms:W3CDTF">2024-11-01T01:14:18Z</dcterms:modified>
  <dc:title>2015年度部门决算公开模板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2024-08-26T15:58:15Z</vt:filetime>
  </property>
  <property fmtid="{D5CDD505-2E9C-101B-9397-08002B2CF9AE}" pid="4" name="KSOProductBuildVer">
    <vt:lpwstr>2052-12.1.0.18276</vt:lpwstr>
  </property>
  <property fmtid="{D5CDD505-2E9C-101B-9397-08002B2CF9AE}" pid="5" name="ICV">
    <vt:lpwstr>9BE7FE1183664D83AD7B340D3D84F107_13</vt:lpwstr>
  </property>
</Properties>
</file>