
<file path=[Content_Types].xml><?xml version="1.0" encoding="utf-8"?>
<Types xmlns="http://schemas.openxmlformats.org/package/2006/content-types">
  <Default Extension="xlsx" ContentType="application/vnd.openxmlformats-officedocument.spreadsheetml.sheet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olors1.xml" ContentType="application/vnd.ms-office.chartcolorstyle+xml"/>
  <Override PartName="/word/charts/colors2.xml" ContentType="application/vnd.ms-office.chartcolorstyle+xml"/>
  <Override PartName="/word/charts/colors3.xml" ContentType="application/vnd.ms-office.chartcolorstyle+xml"/>
  <Override PartName="/word/charts/style1.xml" ContentType="application/vnd.ms-office.chartstyle+xml"/>
  <Override PartName="/word/charts/style2.xml" ContentType="application/vnd.ms-office.chartstyle+xml"/>
  <Override PartName="/word/charts/style3.xml" ContentType="application/vnd.ms-office.chartstyle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45605B8">
      <w:pPr>
        <w:widowControl w:val="0"/>
        <w:kinsoku/>
        <w:autoSpaceDE/>
        <w:autoSpaceDN/>
        <w:adjustRightInd/>
        <w:snapToGrid/>
        <w:spacing w:line="240" w:lineRule="auto"/>
        <w:jc w:val="both"/>
        <w:textAlignment w:val="auto"/>
        <w:rPr>
          <w:rFonts w:hint="eastAsia" w:ascii="仿宋" w:hAnsi="仿宋" w:eastAsia="仿宋" w:cs="Times New Roman"/>
          <w:snapToGrid/>
          <w:kern w:val="2"/>
          <w:sz w:val="28"/>
          <w:szCs w:val="28"/>
          <w:lang w:eastAsia="zh-CN"/>
        </w:rPr>
      </w:pPr>
      <w:r>
        <w:rPr>
          <w:rFonts w:hint="eastAsia" w:ascii="仿宋" w:hAnsi="仿宋" w:eastAsia="仿宋" w:cs="Times New Roman"/>
          <w:snapToGrid/>
          <w:kern w:val="2"/>
          <w:sz w:val="28"/>
          <w:szCs w:val="28"/>
          <w:lang w:eastAsia="zh-CN"/>
        </w:rPr>
        <w:t xml:space="preserve">附件 </w:t>
      </w:r>
      <w:r>
        <w:rPr>
          <w:rFonts w:hint="default" w:ascii="Times New Roman" w:hAnsi="Times New Roman" w:eastAsia="仿宋" w:cs="Times New Roman"/>
          <w:snapToGrid/>
          <w:kern w:val="2"/>
          <w:sz w:val="28"/>
          <w:szCs w:val="28"/>
          <w:lang w:eastAsia="zh-CN"/>
        </w:rPr>
        <w:t>1</w:t>
      </w:r>
      <w:r>
        <w:rPr>
          <w:rFonts w:hint="eastAsia" w:ascii="仿宋" w:hAnsi="仿宋" w:eastAsia="仿宋" w:cs="Times New Roman"/>
          <w:snapToGrid/>
          <w:kern w:val="2"/>
          <w:sz w:val="28"/>
          <w:szCs w:val="28"/>
          <w:lang w:eastAsia="zh-CN"/>
        </w:rPr>
        <w:t>：</w:t>
      </w:r>
    </w:p>
    <w:p w14:paraId="5194875A">
      <w:pPr>
        <w:pStyle w:val="2"/>
        <w:spacing w:line="251" w:lineRule="auto"/>
      </w:pPr>
    </w:p>
    <w:p w14:paraId="15A7E154">
      <w:pPr>
        <w:pStyle w:val="2"/>
        <w:spacing w:line="251" w:lineRule="auto"/>
      </w:pPr>
    </w:p>
    <w:p w14:paraId="10B84B7C">
      <w:pPr>
        <w:pStyle w:val="2"/>
        <w:spacing w:line="252" w:lineRule="auto"/>
      </w:pPr>
    </w:p>
    <w:p w14:paraId="751C39D1">
      <w:pPr>
        <w:pStyle w:val="2"/>
        <w:spacing w:line="252" w:lineRule="auto"/>
      </w:pPr>
    </w:p>
    <w:p w14:paraId="0561FA4A">
      <w:pPr>
        <w:pStyle w:val="2"/>
        <w:spacing w:line="252" w:lineRule="auto"/>
      </w:pPr>
    </w:p>
    <w:p w14:paraId="5B1007C2">
      <w:pPr>
        <w:pStyle w:val="2"/>
        <w:spacing w:line="252" w:lineRule="auto"/>
      </w:pPr>
    </w:p>
    <w:p w14:paraId="5CF92D06">
      <w:pPr>
        <w:pStyle w:val="2"/>
        <w:spacing w:line="252" w:lineRule="auto"/>
      </w:pPr>
    </w:p>
    <w:p w14:paraId="54126FE2">
      <w:pPr>
        <w:pStyle w:val="2"/>
        <w:spacing w:line="252" w:lineRule="auto"/>
      </w:pPr>
    </w:p>
    <w:p w14:paraId="1019F954">
      <w:pPr>
        <w:pStyle w:val="2"/>
        <w:spacing w:line="252" w:lineRule="auto"/>
      </w:pPr>
    </w:p>
    <w:p w14:paraId="3A71A31C">
      <w:pPr>
        <w:pStyle w:val="2"/>
        <w:spacing w:line="252" w:lineRule="auto"/>
      </w:pPr>
    </w:p>
    <w:p w14:paraId="115B7AA1">
      <w:pPr>
        <w:pStyle w:val="2"/>
        <w:spacing w:line="252" w:lineRule="auto"/>
      </w:pPr>
    </w:p>
    <w:p w14:paraId="5245FB85">
      <w:pPr>
        <w:pStyle w:val="2"/>
        <w:spacing w:line="252" w:lineRule="auto"/>
      </w:pPr>
    </w:p>
    <w:p w14:paraId="4CAA1137">
      <w:pPr>
        <w:pStyle w:val="2"/>
        <w:spacing w:line="252" w:lineRule="auto"/>
      </w:pPr>
    </w:p>
    <w:p w14:paraId="492350EB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</w:pPr>
      <w:r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  <w:t>2023 年度</w:t>
      </w:r>
    </w:p>
    <w:p w14:paraId="337A094F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</w:pPr>
    </w:p>
    <w:p w14:paraId="2DEB44FE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</w:pPr>
      <w:r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  <w:t>榆树</w:t>
      </w:r>
      <w:r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  <w:t>市黑林镇</w:t>
      </w:r>
      <w:r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  <w:t>中</w:t>
      </w:r>
      <w:r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  <w:t>心小</w:t>
      </w:r>
      <w:r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  <w:t>学</w:t>
      </w:r>
      <w:r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  <w:t>校</w:t>
      </w:r>
    </w:p>
    <w:p w14:paraId="2018B6C0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ascii="仿宋" w:hAnsi="仿宋" w:eastAsia="仿宋" w:cs="Arial"/>
          <w:snapToGrid/>
          <w:kern w:val="2"/>
          <w:sz w:val="44"/>
          <w:szCs w:val="44"/>
          <w:lang w:eastAsia="zh-CN"/>
        </w:rPr>
      </w:pPr>
      <w:r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  <w:t>部门决算</w:t>
      </w:r>
    </w:p>
    <w:p w14:paraId="011F7500">
      <w:pPr>
        <w:pStyle w:val="2"/>
        <w:spacing w:line="242" w:lineRule="auto"/>
      </w:pPr>
    </w:p>
    <w:p w14:paraId="688A0D8F">
      <w:pPr>
        <w:pStyle w:val="2"/>
        <w:spacing w:line="242" w:lineRule="auto"/>
      </w:pPr>
    </w:p>
    <w:p w14:paraId="4B97BCBB">
      <w:pPr>
        <w:pStyle w:val="2"/>
        <w:spacing w:line="242" w:lineRule="auto"/>
      </w:pPr>
    </w:p>
    <w:p w14:paraId="602D776A">
      <w:pPr>
        <w:pStyle w:val="2"/>
        <w:spacing w:line="242" w:lineRule="auto"/>
      </w:pPr>
    </w:p>
    <w:p w14:paraId="4E83DC17">
      <w:pPr>
        <w:pStyle w:val="2"/>
        <w:spacing w:line="242" w:lineRule="auto"/>
      </w:pPr>
    </w:p>
    <w:p w14:paraId="1620C15D">
      <w:pPr>
        <w:pStyle w:val="2"/>
        <w:spacing w:line="242" w:lineRule="auto"/>
      </w:pPr>
    </w:p>
    <w:p w14:paraId="22060816">
      <w:pPr>
        <w:pStyle w:val="2"/>
        <w:spacing w:line="242" w:lineRule="auto"/>
      </w:pPr>
    </w:p>
    <w:p w14:paraId="3169FF9E">
      <w:pPr>
        <w:pStyle w:val="2"/>
        <w:spacing w:line="242" w:lineRule="auto"/>
      </w:pPr>
    </w:p>
    <w:p w14:paraId="5DB4A9D3">
      <w:pPr>
        <w:pStyle w:val="2"/>
        <w:spacing w:line="242" w:lineRule="auto"/>
      </w:pPr>
    </w:p>
    <w:p w14:paraId="6188A247">
      <w:pPr>
        <w:pStyle w:val="2"/>
        <w:spacing w:line="242" w:lineRule="auto"/>
      </w:pPr>
    </w:p>
    <w:p w14:paraId="1FD5DBB4">
      <w:pPr>
        <w:pStyle w:val="2"/>
        <w:spacing w:line="242" w:lineRule="auto"/>
      </w:pPr>
    </w:p>
    <w:p w14:paraId="7123FAD4">
      <w:pPr>
        <w:pStyle w:val="2"/>
        <w:spacing w:line="243" w:lineRule="auto"/>
      </w:pPr>
    </w:p>
    <w:p w14:paraId="21CC0D71">
      <w:pPr>
        <w:pStyle w:val="2"/>
        <w:spacing w:line="243" w:lineRule="auto"/>
      </w:pPr>
    </w:p>
    <w:p w14:paraId="3D1B397E">
      <w:pPr>
        <w:pStyle w:val="2"/>
        <w:spacing w:line="243" w:lineRule="auto"/>
      </w:pPr>
    </w:p>
    <w:p w14:paraId="5D492978">
      <w:pPr>
        <w:pStyle w:val="2"/>
        <w:spacing w:line="243" w:lineRule="auto"/>
      </w:pPr>
    </w:p>
    <w:p w14:paraId="5A77C529">
      <w:pPr>
        <w:pStyle w:val="2"/>
        <w:spacing w:line="243" w:lineRule="auto"/>
      </w:pPr>
    </w:p>
    <w:p w14:paraId="1C0BF8D0">
      <w:pPr>
        <w:pStyle w:val="2"/>
        <w:spacing w:line="243" w:lineRule="auto"/>
      </w:pPr>
    </w:p>
    <w:p w14:paraId="1D37A28E">
      <w:pPr>
        <w:pStyle w:val="2"/>
        <w:spacing w:line="243" w:lineRule="auto"/>
      </w:pPr>
    </w:p>
    <w:p w14:paraId="26278C3F">
      <w:pPr>
        <w:pStyle w:val="2"/>
        <w:spacing w:line="243" w:lineRule="auto"/>
      </w:pPr>
    </w:p>
    <w:p w14:paraId="0C8C7B8D">
      <w:pPr>
        <w:pStyle w:val="2"/>
        <w:spacing w:line="243" w:lineRule="auto"/>
      </w:pPr>
    </w:p>
    <w:p w14:paraId="1ED6914E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</w:pPr>
      <w:r>
        <w:rPr>
          <w:rFonts w:hint="default" w:ascii="Times New Roman" w:hAnsi="Times New Roman" w:eastAsia="仿宋" w:cs="Times New Roman"/>
          <w:snapToGrid/>
          <w:kern w:val="2"/>
          <w:sz w:val="32"/>
          <w:szCs w:val="32"/>
          <w:lang w:eastAsia="zh-CN"/>
        </w:rPr>
        <w:t xml:space="preserve">2024 </w:t>
      </w:r>
      <w:r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  <w:t xml:space="preserve">年 </w:t>
      </w:r>
      <w:r>
        <w:rPr>
          <w:rFonts w:hint="eastAsia" w:ascii="仿宋" w:hAnsi="仿宋" w:eastAsia="仿宋" w:cs="Arial"/>
          <w:snapToGrid/>
          <w:kern w:val="2"/>
          <w:sz w:val="32"/>
          <w:szCs w:val="32"/>
          <w:lang w:val="en-US" w:eastAsia="zh-CN"/>
        </w:rPr>
        <w:t>10</w:t>
      </w:r>
      <w:bookmarkStart w:id="0" w:name="_GoBack"/>
      <w:bookmarkEnd w:id="0"/>
      <w:r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  <w:t xml:space="preserve"> 月</w:t>
      </w:r>
      <w:r>
        <w:rPr>
          <w:rFonts w:hint="eastAsia" w:ascii="仿宋" w:hAnsi="仿宋" w:eastAsia="仿宋" w:cs="Arial"/>
          <w:snapToGrid/>
          <w:kern w:val="2"/>
          <w:sz w:val="32"/>
          <w:szCs w:val="32"/>
          <w:lang w:val="en-US" w:eastAsia="zh-CN"/>
        </w:rPr>
        <w:t>23</w:t>
      </w:r>
      <w:r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  <w:t>日</w:t>
      </w:r>
    </w:p>
    <w:p w14:paraId="6C55A1FA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ascii="仿宋" w:hAnsi="仿宋" w:eastAsia="仿宋" w:cs="Arial"/>
          <w:snapToGrid/>
          <w:kern w:val="2"/>
          <w:sz w:val="44"/>
          <w:szCs w:val="44"/>
          <w:lang w:eastAsia="zh-CN"/>
        </w:rPr>
        <w:sectPr>
          <w:footerReference r:id="rId5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58DC17AE">
      <w:pPr>
        <w:pStyle w:val="2"/>
        <w:spacing w:line="289" w:lineRule="auto"/>
      </w:pPr>
    </w:p>
    <w:p w14:paraId="66B1449F">
      <w:pPr>
        <w:pStyle w:val="2"/>
        <w:spacing w:line="290" w:lineRule="auto"/>
      </w:pPr>
    </w:p>
    <w:p w14:paraId="3635358B">
      <w:pPr>
        <w:spacing w:before="140" w:line="223" w:lineRule="auto"/>
        <w:ind w:left="3502"/>
        <w:outlineLvl w:val="0"/>
        <w:rPr>
          <w:rFonts w:ascii="仿宋" w:hAnsi="仿宋" w:eastAsia="仿宋" w:cs="仿宋"/>
          <w:sz w:val="43"/>
          <w:szCs w:val="43"/>
        </w:rPr>
      </w:pPr>
      <w:r>
        <w:rPr>
          <w:rFonts w:hint="eastAsia" w:ascii="仿宋" w:hAnsi="仿宋" w:eastAsia="仿宋" w:cs="Times New Roman"/>
          <w:snapToGrid/>
          <w:kern w:val="2"/>
          <w:sz w:val="44"/>
          <w:szCs w:val="22"/>
          <w:lang w:eastAsia="zh-CN"/>
        </w:rPr>
        <w:t>目   录</w:t>
      </w:r>
    </w:p>
    <w:p w14:paraId="27B55C5A">
      <w:pPr>
        <w:pStyle w:val="2"/>
        <w:spacing w:line="341" w:lineRule="auto"/>
      </w:pPr>
    </w:p>
    <w:p w14:paraId="183EC639">
      <w:pPr>
        <w:pStyle w:val="2"/>
        <w:spacing w:line="342" w:lineRule="auto"/>
      </w:pPr>
    </w:p>
    <w:p w14:paraId="22238942">
      <w:pPr>
        <w:spacing w:before="101" w:line="223" w:lineRule="auto"/>
        <w:ind w:left="4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第一部分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部门概况</w:t>
      </w:r>
    </w:p>
    <w:p w14:paraId="7D1E52FC">
      <w:pPr>
        <w:spacing w:before="249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z w:val="31"/>
          <w:szCs w:val="31"/>
        </w:rPr>
        <w:t>一、部门职责</w:t>
      </w:r>
    </w:p>
    <w:p w14:paraId="5DB6AED2">
      <w:pPr>
        <w:spacing w:before="250" w:line="222" w:lineRule="auto"/>
        <w:ind w:left="4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二、机构设置及部门决算单位构成</w:t>
      </w:r>
    </w:p>
    <w:p w14:paraId="548DECEB">
      <w:pPr>
        <w:spacing w:before="250" w:line="223" w:lineRule="auto"/>
        <w:ind w:left="49"/>
        <w:outlineLvl w:val="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2"/>
          <w:sz w:val="31"/>
          <w:szCs w:val="31"/>
        </w:rPr>
        <w:t>第二部分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2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3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2"/>
          <w:sz w:val="31"/>
          <w:szCs w:val="31"/>
        </w:rPr>
        <w:t>年度部门决算表</w:t>
      </w:r>
    </w:p>
    <w:p w14:paraId="15F2EAC2">
      <w:pPr>
        <w:spacing w:before="250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一、收入支出决算总表</w:t>
      </w:r>
    </w:p>
    <w:p w14:paraId="3E6888F3">
      <w:pPr>
        <w:spacing w:before="250" w:line="223" w:lineRule="auto"/>
        <w:ind w:left="4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二、收入决算表</w:t>
      </w:r>
    </w:p>
    <w:p w14:paraId="58649D7E">
      <w:pPr>
        <w:spacing w:before="249" w:line="223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三、支出决算表</w:t>
      </w:r>
    </w:p>
    <w:p w14:paraId="6E5537FC">
      <w:pPr>
        <w:spacing w:before="250" w:line="223" w:lineRule="auto"/>
        <w:ind w:left="7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四、财政拨款收入支出决算总表</w:t>
      </w:r>
    </w:p>
    <w:p w14:paraId="45D4FDAA">
      <w:pPr>
        <w:spacing w:before="249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五、一般公共预算财政拨款支出决算表</w:t>
      </w:r>
    </w:p>
    <w:p w14:paraId="12554B9C">
      <w:pPr>
        <w:spacing w:before="250" w:line="223" w:lineRule="auto"/>
        <w:ind w:left="3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六、一般公共预算财政拨款基本支出决算明细表</w:t>
      </w:r>
    </w:p>
    <w:p w14:paraId="07F5335F">
      <w:pPr>
        <w:spacing w:before="251" w:line="221" w:lineRule="auto"/>
        <w:ind w:left="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七、政府性基金预算财政拨款收入支出决算表</w:t>
      </w:r>
    </w:p>
    <w:p w14:paraId="28484FF4">
      <w:pPr>
        <w:spacing w:before="252" w:line="223" w:lineRule="auto"/>
        <w:ind w:left="3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八、</w:t>
      </w:r>
      <w:r>
        <w:rPr>
          <w:rFonts w:hint="default" w:ascii="Times New Roman" w:hAnsi="Times New Roman" w:eastAsia="仿宋_GB2312" w:cs="Times New Roman"/>
          <w:spacing w:val="-8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国有资本经营预算财政拨款支出决算表</w:t>
      </w:r>
    </w:p>
    <w:p w14:paraId="4E593281">
      <w:pPr>
        <w:spacing w:before="249" w:line="223" w:lineRule="auto"/>
        <w:ind w:left="47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九、财政拨款“三公”经费支出决算表</w:t>
      </w:r>
    </w:p>
    <w:p w14:paraId="49738A68">
      <w:pPr>
        <w:spacing w:before="250" w:line="223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十、部门预算项目支出绩效自评表</w:t>
      </w:r>
    </w:p>
    <w:p w14:paraId="47A5AD29">
      <w:pPr>
        <w:spacing w:before="249" w:line="223" w:lineRule="auto"/>
        <w:ind w:left="49"/>
        <w:outlineLvl w:val="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3"/>
          <w:sz w:val="31"/>
          <w:szCs w:val="31"/>
        </w:rPr>
        <w:t>第三部分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pacing w:val="3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3"/>
          <w:sz w:val="31"/>
          <w:szCs w:val="31"/>
        </w:rPr>
        <w:t>年度部门决算情况说明</w:t>
      </w:r>
    </w:p>
    <w:p w14:paraId="0BB8BDA4">
      <w:pPr>
        <w:spacing w:before="250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一、收入支出决算总体情况说明</w:t>
      </w:r>
    </w:p>
    <w:p w14:paraId="61F0F718">
      <w:pPr>
        <w:spacing w:before="250" w:line="223" w:lineRule="auto"/>
        <w:ind w:left="4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二、收入决算情况说明</w:t>
      </w:r>
    </w:p>
    <w:p w14:paraId="440B545A">
      <w:pPr>
        <w:spacing w:before="250" w:line="223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三、支出决算情况说明</w:t>
      </w:r>
    </w:p>
    <w:p w14:paraId="374D8597">
      <w:pPr>
        <w:spacing w:before="249" w:line="223" w:lineRule="auto"/>
        <w:ind w:left="7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四、财政拨款收入支出决算总体情况说明</w:t>
      </w:r>
    </w:p>
    <w:p w14:paraId="39500108">
      <w:pPr>
        <w:spacing w:line="223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6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6DE47465">
      <w:pPr>
        <w:spacing w:before="159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五、一般公共预算财政拨款支出决算情况说明</w:t>
      </w:r>
    </w:p>
    <w:p w14:paraId="490EEEAD">
      <w:pPr>
        <w:spacing w:before="249" w:line="223" w:lineRule="auto"/>
        <w:ind w:left="3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六、一般公共预算财政拨款基本支出决算情况说明</w:t>
      </w:r>
    </w:p>
    <w:p w14:paraId="2AE5EF9A">
      <w:pPr>
        <w:spacing w:before="250" w:line="221" w:lineRule="auto"/>
        <w:ind w:left="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七、政府性基金预算财政拨款收入支出决算情况说明</w:t>
      </w:r>
    </w:p>
    <w:p w14:paraId="6F9D939D">
      <w:pPr>
        <w:spacing w:before="251" w:line="223" w:lineRule="auto"/>
        <w:ind w:left="3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八、</w:t>
      </w:r>
      <w:r>
        <w:rPr>
          <w:rFonts w:hint="default" w:ascii="Times New Roman" w:hAnsi="Times New Roman" w:eastAsia="仿宋_GB2312" w:cs="Times New Roman"/>
          <w:spacing w:val="-9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国有资本经营预算财政拨款支出决算情况说明</w:t>
      </w:r>
    </w:p>
    <w:p w14:paraId="66FA0E3A">
      <w:pPr>
        <w:spacing w:before="250" w:line="223" w:lineRule="auto"/>
        <w:ind w:left="47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九、财政拨款“三公”经费支出决算情况说明</w:t>
      </w:r>
    </w:p>
    <w:p w14:paraId="10A05F20">
      <w:pPr>
        <w:spacing w:before="249" w:line="224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十、绩效评价情况说明</w:t>
      </w:r>
    </w:p>
    <w:p w14:paraId="4AD887C9">
      <w:pPr>
        <w:spacing w:before="248" w:line="223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十一、其他重要事项情况说明</w:t>
      </w:r>
    </w:p>
    <w:p w14:paraId="360DC758">
      <w:pPr>
        <w:spacing w:before="250" w:line="224" w:lineRule="auto"/>
        <w:ind w:left="4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第四部分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名词解释</w:t>
      </w:r>
    </w:p>
    <w:p w14:paraId="2A5FEBD5">
      <w:pPr>
        <w:spacing w:line="224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7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453D766C">
      <w:pPr>
        <w:pStyle w:val="2"/>
        <w:spacing w:line="328" w:lineRule="auto"/>
      </w:pPr>
    </w:p>
    <w:p w14:paraId="696471FA">
      <w:pPr>
        <w:pStyle w:val="2"/>
        <w:spacing w:line="328" w:lineRule="auto"/>
      </w:pPr>
    </w:p>
    <w:p w14:paraId="00AC6016">
      <w:pPr>
        <w:spacing w:before="189" w:line="443" w:lineRule="exact"/>
        <w:ind w:left="2215"/>
        <w:outlineLvl w:val="0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  <w:r>
        <w:rPr>
          <w:rFonts w:hint="default" w:ascii="Times New Roman" w:hAnsi="Times New Roman" w:eastAsia="仿宋_GB2312" w:cs="Times New Roman"/>
          <w:b/>
          <w:bCs/>
          <w:spacing w:val="1"/>
          <w:position w:val="-2"/>
          <w:sz w:val="44"/>
          <w:szCs w:val="44"/>
        </w:rPr>
        <w:t>第一部分</w:t>
      </w:r>
      <w:r>
        <w:rPr>
          <w:rFonts w:hint="default" w:ascii="Times New Roman" w:hAnsi="Times New Roman" w:eastAsia="仿宋_GB2312" w:cs="Times New Roman"/>
          <w:b/>
          <w:bCs/>
          <w:spacing w:val="14"/>
          <w:position w:val="-2"/>
          <w:sz w:val="44"/>
          <w:szCs w:val="44"/>
        </w:rPr>
        <w:t xml:space="preserve">   </w:t>
      </w:r>
      <w:r>
        <w:rPr>
          <w:rFonts w:hint="default" w:ascii="Times New Roman" w:hAnsi="Times New Roman" w:eastAsia="仿宋_GB2312" w:cs="Times New Roman"/>
          <w:b/>
          <w:bCs/>
          <w:spacing w:val="1"/>
          <w:position w:val="-2"/>
          <w:sz w:val="44"/>
          <w:szCs w:val="44"/>
        </w:rPr>
        <w:t>部门概况</w:t>
      </w:r>
    </w:p>
    <w:p w14:paraId="69F4AA85">
      <w:pPr>
        <w:pStyle w:val="2"/>
        <w:spacing w:line="314" w:lineRule="auto"/>
        <w:rPr>
          <w:rFonts w:hint="default" w:ascii="Times New Roman" w:hAnsi="Times New Roman" w:eastAsia="仿宋_GB2312" w:cs="Times New Roman"/>
        </w:rPr>
      </w:pPr>
    </w:p>
    <w:p w14:paraId="6134E371">
      <w:pPr>
        <w:pStyle w:val="2"/>
        <w:spacing w:line="314" w:lineRule="auto"/>
        <w:rPr>
          <w:rFonts w:hint="default" w:ascii="Times New Roman" w:hAnsi="Times New Roman" w:eastAsia="仿宋_GB2312" w:cs="Times New Roman"/>
        </w:rPr>
      </w:pPr>
    </w:p>
    <w:p w14:paraId="5B152342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6E4EB18B">
      <w:pPr>
        <w:spacing w:before="101" w:line="224" w:lineRule="auto"/>
        <w:ind w:left="751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一、部门主要职责</w:t>
      </w:r>
    </w:p>
    <w:p w14:paraId="2E25E0EB">
      <w:pPr>
        <w:pStyle w:val="2"/>
        <w:spacing w:line="347" w:lineRule="auto"/>
        <w:rPr>
          <w:rFonts w:hint="default" w:ascii="Times New Roman" w:hAnsi="Times New Roman" w:eastAsia="仿宋_GB2312" w:cs="Times New Roman"/>
        </w:rPr>
      </w:pPr>
    </w:p>
    <w:p w14:paraId="770E0AAC">
      <w:pPr>
        <w:spacing w:before="101" w:line="218" w:lineRule="exact"/>
        <w:ind w:left="102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8"/>
          <w:position w:val="-13"/>
          <w:sz w:val="31"/>
          <w:szCs w:val="31"/>
        </w:rPr>
        <w:t>……</w:t>
      </w:r>
    </w:p>
    <w:p w14:paraId="3106BE4D">
      <w:pPr>
        <w:ind w:firstLine="640" w:firstLineChars="200"/>
        <w:rPr>
          <w:rStyle w:val="9"/>
          <w:rFonts w:hint="eastAsia" w:ascii="仿宋" w:hAnsi="仿宋" w:eastAsia="仿宋" w:cs="仿宋"/>
          <w:sz w:val="32"/>
          <w:szCs w:val="32"/>
        </w:rPr>
      </w:pPr>
      <w:r>
        <w:rPr>
          <w:rStyle w:val="9"/>
          <w:rFonts w:hint="eastAsia" w:ascii="仿宋" w:hAnsi="仿宋" w:eastAsia="仿宋" w:cs="仿宋"/>
          <w:sz w:val="32"/>
          <w:szCs w:val="32"/>
        </w:rPr>
        <w:t>（一）按照《中华人民共和国教育法》的有关要求，承担</w:t>
      </w:r>
      <w:r>
        <w:rPr>
          <w:rStyle w:val="9"/>
          <w:rFonts w:hint="eastAsia" w:ascii="仿宋" w:hAnsi="仿宋" w:eastAsia="仿宋" w:cs="仿宋"/>
          <w:sz w:val="32"/>
          <w:szCs w:val="32"/>
          <w:lang w:val="en-US" w:eastAsia="zh-CN"/>
        </w:rPr>
        <w:t>小学</w:t>
      </w:r>
      <w:r>
        <w:rPr>
          <w:rStyle w:val="9"/>
          <w:rFonts w:hint="eastAsia" w:ascii="仿宋" w:hAnsi="仿宋" w:eastAsia="仿宋" w:cs="仿宋"/>
          <w:sz w:val="32"/>
          <w:szCs w:val="32"/>
        </w:rPr>
        <w:t>教育教学任务，实现其教育教学目标；负责对受教育者德、智、体、美、劳等</w:t>
      </w:r>
      <w:r>
        <w:rPr>
          <w:rStyle w:val="9"/>
          <w:rFonts w:hint="eastAsia" w:ascii="仿宋" w:hAnsi="仿宋" w:eastAsia="仿宋" w:cs="仿宋"/>
          <w:sz w:val="32"/>
          <w:szCs w:val="32"/>
          <w:lang w:eastAsia="zh-CN"/>
        </w:rPr>
        <w:t>诸</w:t>
      </w:r>
      <w:r>
        <w:rPr>
          <w:rStyle w:val="9"/>
          <w:rFonts w:hint="eastAsia" w:ascii="仿宋" w:hAnsi="仿宋" w:eastAsia="仿宋" w:cs="仿宋"/>
          <w:sz w:val="32"/>
          <w:szCs w:val="32"/>
        </w:rPr>
        <w:t xml:space="preserve">方面进行系统教育、训练和培养；负责加强师资队伍建设，开展教职工思想政治教育、业务进修和教育科研活动，不断提高教职工队伍素质；负责管理学校校产、设备、经费等，努力改善办学条件。 </w:t>
      </w:r>
    </w:p>
    <w:p w14:paraId="21C0A5DC">
      <w:pPr>
        <w:ind w:firstLine="640" w:firstLineChars="200"/>
        <w:rPr>
          <w:rFonts w:hint="eastAsia" w:ascii="仿宋" w:hAnsi="仿宋" w:eastAsia="仿宋" w:cs="仿宋"/>
          <w:sz w:val="48"/>
          <w:szCs w:val="28"/>
        </w:rPr>
      </w:pPr>
      <w:r>
        <w:rPr>
          <w:rStyle w:val="9"/>
          <w:rFonts w:hint="eastAsia" w:ascii="仿宋" w:hAnsi="仿宋" w:eastAsia="仿宋" w:cs="仿宋"/>
          <w:sz w:val="32"/>
          <w:szCs w:val="32"/>
        </w:rPr>
        <w:t>（二）完成市委、市政府交办的其他工作。</w:t>
      </w:r>
    </w:p>
    <w:p w14:paraId="48DFBE20">
      <w:pPr>
        <w:spacing w:before="251" w:line="224" w:lineRule="auto"/>
        <w:ind w:left="672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二、机构设置及部门决算单位构成</w:t>
      </w:r>
    </w:p>
    <w:p w14:paraId="5BAF6D5A">
      <w:pPr>
        <w:ind w:firstLine="640" w:firstLineChars="200"/>
        <w:rPr>
          <w:rFonts w:hint="eastAsia" w:ascii="仿宋" w:hAnsi="仿宋" w:eastAsia="仿宋"/>
          <w:sz w:val="32"/>
        </w:rPr>
      </w:pPr>
      <w:r>
        <w:rPr>
          <w:rFonts w:hint="eastAsia" w:ascii="仿宋" w:hAnsi="仿宋" w:eastAsia="仿宋"/>
          <w:sz w:val="32"/>
        </w:rPr>
        <w:t>根据上述职责，</w:t>
      </w:r>
      <w:r>
        <w:rPr>
          <w:rFonts w:hint="eastAsia" w:ascii="仿宋" w:hAnsi="仿宋" w:eastAsia="仿宋"/>
          <w:sz w:val="32"/>
          <w:szCs w:val="30"/>
        </w:rPr>
        <w:t>榆树市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黑林镇</w:t>
      </w:r>
      <w:r>
        <w:rPr>
          <w:rFonts w:hint="eastAsia" w:ascii="仿宋" w:hAnsi="仿宋" w:eastAsia="仿宋"/>
          <w:sz w:val="32"/>
          <w:szCs w:val="30"/>
        </w:rPr>
        <w:t>中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心小</w:t>
      </w:r>
      <w:r>
        <w:rPr>
          <w:rFonts w:hint="eastAsia" w:ascii="仿宋" w:hAnsi="仿宋" w:eastAsia="仿宋"/>
          <w:sz w:val="32"/>
          <w:szCs w:val="30"/>
        </w:rPr>
        <w:t>学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校</w:t>
      </w:r>
      <w:r>
        <w:rPr>
          <w:rFonts w:hint="eastAsia" w:ascii="仿宋" w:hAnsi="仿宋" w:eastAsia="仿宋"/>
          <w:sz w:val="32"/>
          <w:szCs w:val="30"/>
          <w:lang w:eastAsia="zh-CN"/>
        </w:rPr>
        <w:t>无</w:t>
      </w:r>
      <w:r>
        <w:rPr>
          <w:rFonts w:hint="eastAsia" w:ascii="仿宋" w:hAnsi="仿宋" w:eastAsia="仿宋"/>
          <w:sz w:val="32"/>
        </w:rPr>
        <w:t>内设机构。</w:t>
      </w:r>
    </w:p>
    <w:p w14:paraId="67403F49">
      <w:pPr>
        <w:ind w:firstLine="640" w:firstLineChars="200"/>
        <w:rPr>
          <w:rFonts w:hint="eastAsia" w:ascii="仿宋" w:hAnsi="仿宋" w:eastAsia="仿宋"/>
          <w:sz w:val="32"/>
        </w:rPr>
      </w:pPr>
      <w:r>
        <w:rPr>
          <w:rFonts w:hint="eastAsia" w:ascii="仿宋" w:hAnsi="仿宋" w:eastAsia="仿宋"/>
          <w:sz w:val="32"/>
        </w:rPr>
        <w:t>纳入</w:t>
      </w:r>
      <w:r>
        <w:rPr>
          <w:rFonts w:hint="eastAsia" w:ascii="仿宋" w:hAnsi="仿宋" w:eastAsia="仿宋"/>
          <w:sz w:val="32"/>
          <w:szCs w:val="30"/>
        </w:rPr>
        <w:t>榆树市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黑林镇</w:t>
      </w:r>
      <w:r>
        <w:rPr>
          <w:rFonts w:hint="eastAsia" w:ascii="仿宋" w:hAnsi="仿宋" w:eastAsia="仿宋"/>
          <w:sz w:val="32"/>
          <w:szCs w:val="30"/>
        </w:rPr>
        <w:t>中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心小</w:t>
      </w:r>
      <w:r>
        <w:rPr>
          <w:rFonts w:hint="eastAsia" w:ascii="仿宋" w:hAnsi="仿宋" w:eastAsia="仿宋"/>
          <w:sz w:val="32"/>
          <w:szCs w:val="30"/>
        </w:rPr>
        <w:t>学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校</w:t>
      </w:r>
      <w:r>
        <w:rPr>
          <w:rFonts w:ascii="仿宋" w:hAnsi="仿宋" w:eastAsia="仿宋"/>
          <w:sz w:val="32"/>
        </w:rPr>
        <w:t>202</w:t>
      </w:r>
      <w:r>
        <w:rPr>
          <w:rFonts w:hint="eastAsia" w:ascii="仿宋" w:hAnsi="仿宋" w:eastAsia="仿宋"/>
          <w:sz w:val="32"/>
          <w:lang w:val="en-US" w:eastAsia="zh-CN"/>
        </w:rPr>
        <w:t>3</w:t>
      </w:r>
      <w:r>
        <w:rPr>
          <w:rFonts w:ascii="仿宋" w:hAnsi="仿宋" w:eastAsia="仿宋"/>
          <w:sz w:val="32"/>
        </w:rPr>
        <w:t>年</w:t>
      </w:r>
      <w:r>
        <w:rPr>
          <w:rFonts w:hint="eastAsia" w:ascii="仿宋" w:hAnsi="仿宋" w:eastAsia="仿宋"/>
          <w:sz w:val="32"/>
        </w:rPr>
        <w:t>度部门决算编制范围的单位包括：</w:t>
      </w:r>
    </w:p>
    <w:p w14:paraId="45343D23">
      <w:pPr>
        <w:ind w:firstLine="640" w:firstLineChars="200"/>
        <w:rPr>
          <w:rFonts w:hint="eastAsia" w:ascii="仿宋" w:hAnsi="仿宋" w:eastAsia="仿宋"/>
          <w:sz w:val="32"/>
          <w:lang w:val="en-US" w:eastAsia="zh-CN"/>
        </w:rPr>
      </w:pPr>
      <w:r>
        <w:rPr>
          <w:rFonts w:hint="eastAsia" w:ascii="仿宋" w:hAnsi="仿宋" w:eastAsia="仿宋"/>
          <w:sz w:val="32"/>
        </w:rPr>
        <w:t>1.</w:t>
      </w:r>
      <w:r>
        <w:rPr>
          <w:rFonts w:hint="eastAsia" w:ascii="仿宋" w:hAnsi="仿宋" w:eastAsia="仿宋"/>
          <w:sz w:val="32"/>
          <w:szCs w:val="30"/>
        </w:rPr>
        <w:t>榆树市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黑林镇</w:t>
      </w:r>
      <w:r>
        <w:rPr>
          <w:rFonts w:hint="eastAsia" w:ascii="仿宋" w:hAnsi="仿宋" w:eastAsia="仿宋"/>
          <w:sz w:val="32"/>
          <w:szCs w:val="30"/>
        </w:rPr>
        <w:t>中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心小</w:t>
      </w:r>
      <w:r>
        <w:rPr>
          <w:rFonts w:hint="eastAsia" w:ascii="仿宋" w:hAnsi="仿宋" w:eastAsia="仿宋"/>
          <w:sz w:val="32"/>
          <w:szCs w:val="30"/>
        </w:rPr>
        <w:t>学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校</w:t>
      </w:r>
    </w:p>
    <w:p w14:paraId="42FB684D">
      <w:pPr>
        <w:ind w:firstLine="640" w:firstLineChars="200"/>
        <w:rPr>
          <w:rFonts w:hint="eastAsia" w:ascii="仿宋" w:hAnsi="仿宋" w:eastAsia="仿宋"/>
          <w:sz w:val="32"/>
        </w:rPr>
      </w:pPr>
      <w:r>
        <w:rPr>
          <w:rFonts w:hint="eastAsia" w:ascii="仿宋" w:hAnsi="仿宋" w:eastAsia="仿宋"/>
          <w:sz w:val="32"/>
        </w:rPr>
        <w:t>2.……</w:t>
      </w:r>
    </w:p>
    <w:p w14:paraId="57ED1F0A">
      <w:pPr>
        <w:ind w:firstLine="640" w:firstLineChars="200"/>
        <w:rPr>
          <w:rFonts w:hint="eastAsia" w:ascii="仿宋" w:hAnsi="仿宋" w:eastAsia="仿宋"/>
          <w:sz w:val="44"/>
        </w:rPr>
      </w:pPr>
      <w:r>
        <w:rPr>
          <w:rFonts w:hint="eastAsia" w:ascii="仿宋" w:hAnsi="仿宋" w:eastAsia="仿宋"/>
          <w:sz w:val="32"/>
        </w:rPr>
        <w:t>3.……</w:t>
      </w:r>
    </w:p>
    <w:p w14:paraId="4EC7AA7D">
      <w:pPr>
        <w:pStyle w:val="2"/>
        <w:spacing w:line="328" w:lineRule="auto"/>
        <w:rPr>
          <w:rFonts w:hint="default" w:ascii="Times New Roman" w:hAnsi="Times New Roman" w:eastAsia="仿宋_GB2312" w:cs="Times New Roman"/>
        </w:rPr>
      </w:pPr>
    </w:p>
    <w:p w14:paraId="01CB53D0">
      <w:pPr>
        <w:pStyle w:val="2"/>
        <w:spacing w:line="328" w:lineRule="auto"/>
        <w:rPr>
          <w:rFonts w:hint="default" w:ascii="Times New Roman" w:hAnsi="Times New Roman" w:eastAsia="仿宋_GB2312" w:cs="Times New Roman"/>
        </w:rPr>
      </w:pPr>
    </w:p>
    <w:p w14:paraId="12D803E6">
      <w:pPr>
        <w:spacing w:before="189" w:line="186" w:lineRule="auto"/>
        <w:ind w:left="1142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  <w:r>
        <w:rPr>
          <w:rFonts w:hint="default" w:ascii="Times New Roman" w:hAnsi="Times New Roman" w:eastAsia="仿宋_GB2312" w:cs="Times New Roman"/>
          <w:b/>
          <w:bCs/>
          <w:sz w:val="44"/>
          <w:szCs w:val="44"/>
        </w:rPr>
        <w:t>第二部分</w:t>
      </w:r>
      <w:r>
        <w:rPr>
          <w:rFonts w:hint="default" w:ascii="Times New Roman" w:hAnsi="Times New Roman" w:eastAsia="仿宋_GB2312" w:cs="Times New Roman"/>
          <w:b/>
          <w:bCs/>
          <w:spacing w:val="111"/>
          <w:sz w:val="44"/>
          <w:szCs w:val="44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43"/>
          <w:szCs w:val="43"/>
        </w:rPr>
        <w:t>2023</w:t>
      </w:r>
      <w:r>
        <w:rPr>
          <w:rFonts w:hint="default" w:ascii="Times New Roman" w:hAnsi="Times New Roman" w:eastAsia="仿宋_GB2312" w:cs="Times New Roman"/>
          <w:b/>
          <w:bCs/>
          <w:spacing w:val="-103"/>
          <w:sz w:val="43"/>
          <w:szCs w:val="43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44"/>
          <w:szCs w:val="44"/>
        </w:rPr>
        <w:t>年度部门决算表</w:t>
      </w:r>
    </w:p>
    <w:p w14:paraId="56D5FF6E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299A49F9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1D04E47E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24C6FFE1">
      <w:pPr>
        <w:spacing w:before="100" w:line="224" w:lineRule="auto"/>
        <w:ind w:left="672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一、收入支出决算总表</w:t>
      </w:r>
    </w:p>
    <w:p w14:paraId="647E8A9E">
      <w:pPr>
        <w:spacing w:before="101" w:line="5918" w:lineRule="exact"/>
        <w:ind w:firstLine="194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91455" cy="2579370"/>
            <wp:effectExtent l="0" t="0" r="4445" b="11430"/>
            <wp:docPr id="12" name="图片 12" descr="2023年度部门决算公开表样_g01收入支出决算总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2023年度部门决算公开表样_g01收入支出决算总表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91455" cy="257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CF5A5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121D7DED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5DA94C37">
      <w:pPr>
        <w:spacing w:before="101" w:line="224" w:lineRule="auto"/>
        <w:ind w:left="672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二、收入决算表</w:t>
      </w:r>
    </w:p>
    <w:p w14:paraId="7DAAE0E8">
      <w:pPr>
        <w:spacing w:before="209" w:line="5702" w:lineRule="exact"/>
        <w:ind w:firstLine="324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84470" cy="2508250"/>
            <wp:effectExtent l="0" t="0" r="11430" b="6350"/>
            <wp:docPr id="13" name="图片 13" descr="2023年度部门决算公开表样_g02收入决算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2023年度部门决算公开表样_g02收入决算表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84470" cy="250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30FB1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4E763445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2C74B845">
      <w:pPr>
        <w:pStyle w:val="2"/>
        <w:spacing w:line="262" w:lineRule="auto"/>
        <w:rPr>
          <w:rFonts w:hint="default" w:ascii="Times New Roman" w:hAnsi="Times New Roman" w:eastAsia="仿宋_GB2312" w:cs="Times New Roman"/>
        </w:rPr>
      </w:pPr>
    </w:p>
    <w:p w14:paraId="1405B62C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52B29CB1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0F108625">
      <w:pPr>
        <w:spacing w:before="101" w:line="224" w:lineRule="auto"/>
        <w:ind w:left="674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三、支出决算表</w:t>
      </w:r>
    </w:p>
    <w:p w14:paraId="3382C71B">
      <w:pPr>
        <w:spacing w:before="151" w:line="5818" w:lineRule="exact"/>
        <w:ind w:firstLine="240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93360" cy="2754630"/>
            <wp:effectExtent l="0" t="0" r="2540" b="7620"/>
            <wp:docPr id="17" name="图片 17" descr="2023年度部门决算公开表样_g03支出决算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2023年度部门决算公开表样_g03支出决算表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93360" cy="2754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2B048">
      <w:pPr>
        <w:pStyle w:val="2"/>
        <w:spacing w:line="242" w:lineRule="auto"/>
        <w:rPr>
          <w:rFonts w:hint="default" w:ascii="Times New Roman" w:hAnsi="Times New Roman" w:eastAsia="仿宋_GB2312" w:cs="Times New Roman"/>
        </w:rPr>
      </w:pPr>
    </w:p>
    <w:p w14:paraId="5B79A916">
      <w:pPr>
        <w:pStyle w:val="2"/>
        <w:spacing w:line="242" w:lineRule="auto"/>
        <w:rPr>
          <w:rFonts w:hint="default" w:ascii="Times New Roman" w:hAnsi="Times New Roman" w:eastAsia="仿宋_GB2312" w:cs="Times New Roman"/>
        </w:rPr>
      </w:pPr>
    </w:p>
    <w:p w14:paraId="2075DD5A">
      <w:pPr>
        <w:pStyle w:val="2"/>
        <w:spacing w:line="242" w:lineRule="auto"/>
        <w:rPr>
          <w:rFonts w:hint="default" w:ascii="Times New Roman" w:hAnsi="Times New Roman" w:eastAsia="仿宋_GB2312" w:cs="Times New Roman"/>
        </w:rPr>
      </w:pPr>
    </w:p>
    <w:p w14:paraId="77B33F4B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077BAD87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4D97E2E3">
      <w:pPr>
        <w:spacing w:before="101" w:line="224" w:lineRule="auto"/>
        <w:ind w:left="686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四、财政拨款收入支出决算总表</w:t>
      </w:r>
    </w:p>
    <w:p w14:paraId="02FFDFE5">
      <w:pPr>
        <w:pStyle w:val="2"/>
        <w:spacing w:line="245" w:lineRule="auto"/>
        <w:rPr>
          <w:rFonts w:hint="default" w:ascii="Times New Roman" w:hAnsi="Times New Roman" w:eastAsia="仿宋_GB2312" w:cs="Times New Roman"/>
        </w:rPr>
      </w:pPr>
    </w:p>
    <w:p w14:paraId="0587E358">
      <w:pPr>
        <w:spacing w:line="4378" w:lineRule="exact"/>
        <w:ind w:firstLine="14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73675" cy="2176780"/>
            <wp:effectExtent l="0" t="0" r="3175" b="13970"/>
            <wp:docPr id="19" name="图片 19" descr="2023年度部门决算公开表样_g04财政拨款收入支出决算总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2023年度部门决算公开表样_g04财政拨款收入支出决算总表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17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07DA9">
      <w:pPr>
        <w:pStyle w:val="2"/>
        <w:spacing w:line="273" w:lineRule="auto"/>
        <w:rPr>
          <w:rFonts w:hint="default" w:ascii="Times New Roman" w:hAnsi="Times New Roman" w:eastAsia="仿宋_GB2312" w:cs="Times New Roman"/>
        </w:rPr>
      </w:pPr>
    </w:p>
    <w:p w14:paraId="0B9C9B4C">
      <w:pPr>
        <w:spacing w:before="100" w:line="224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8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1F3DEA1A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723E7371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36050C6E">
      <w:pPr>
        <w:spacing w:before="100" w:line="224" w:lineRule="auto"/>
        <w:ind w:left="676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五、一般公共预算财政拨款支出决算表</w:t>
      </w:r>
    </w:p>
    <w:p w14:paraId="44A3E5C6">
      <w:pPr>
        <w:spacing w:before="229" w:line="4102" w:lineRule="exact"/>
        <w:ind w:firstLine="14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73675" cy="2176780"/>
            <wp:effectExtent l="0" t="0" r="3175" b="13970"/>
            <wp:docPr id="21" name="图片 21" descr="2023年度部门决算公开表样_g04财政拨款收入支出决算总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2023年度部门决算公开表样_g04财政拨款收入支出决算总表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17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51C58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736A4FBD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7238BFA7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2E199CED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25DCCA73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0FF11184">
      <w:pPr>
        <w:spacing w:before="100" w:line="224" w:lineRule="auto"/>
        <w:ind w:left="677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六、一般公共预算财政拨款基本支出决算明细表</w:t>
      </w:r>
    </w:p>
    <w:p w14:paraId="2ACC0C1B">
      <w:pPr>
        <w:spacing w:before="234" w:line="5964" w:lineRule="exact"/>
        <w:ind w:firstLine="237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75580" cy="3134995"/>
            <wp:effectExtent l="0" t="0" r="1270" b="8255"/>
            <wp:docPr id="22" name="图片 22" descr="2023年度部门决算公开表样_g06一般公共预算财政拨款基本支出决算明细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2023年度部门决算公开表样_g06一般公共预算财政拨款基本支出决算明细表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3134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8D1B1">
      <w:pPr>
        <w:pStyle w:val="2"/>
        <w:spacing w:line="270" w:lineRule="auto"/>
        <w:rPr>
          <w:rFonts w:hint="default" w:ascii="Times New Roman" w:hAnsi="Times New Roman" w:eastAsia="仿宋_GB2312" w:cs="Times New Roman"/>
        </w:rPr>
      </w:pPr>
    </w:p>
    <w:p w14:paraId="4EE00500">
      <w:pPr>
        <w:pStyle w:val="2"/>
        <w:spacing w:line="270" w:lineRule="auto"/>
        <w:rPr>
          <w:rFonts w:hint="default" w:ascii="Times New Roman" w:hAnsi="Times New Roman" w:eastAsia="仿宋_GB2312" w:cs="Times New Roman"/>
        </w:rPr>
      </w:pPr>
    </w:p>
    <w:p w14:paraId="388B6C52">
      <w:pPr>
        <w:pStyle w:val="2"/>
        <w:spacing w:line="270" w:lineRule="auto"/>
        <w:rPr>
          <w:rFonts w:hint="default" w:ascii="Times New Roman" w:hAnsi="Times New Roman" w:eastAsia="仿宋_GB2312" w:cs="Times New Roman"/>
        </w:rPr>
      </w:pPr>
    </w:p>
    <w:p w14:paraId="5B140DFA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27C053C9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79907CA8">
      <w:pPr>
        <w:spacing w:before="101" w:line="224" w:lineRule="auto"/>
        <w:ind w:left="666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七、政府性基金预算财政拨款收入支出决算表</w:t>
      </w:r>
    </w:p>
    <w:p w14:paraId="11F74E36">
      <w:pPr>
        <w:spacing w:before="235" w:line="4714" w:lineRule="exact"/>
        <w:ind w:firstLine="240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94"/>
        </w:rPr>
        <w:drawing>
          <wp:inline distT="0" distB="0" distL="0" distR="0">
            <wp:extent cx="4987925" cy="2993390"/>
            <wp:effectExtent l="0" t="0" r="0" b="0"/>
            <wp:docPr id="14" name="IM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 14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87925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11733">
      <w:pPr>
        <w:pStyle w:val="2"/>
        <w:spacing w:line="270" w:lineRule="auto"/>
        <w:rPr>
          <w:rFonts w:hint="default" w:ascii="Times New Roman" w:hAnsi="Times New Roman" w:eastAsia="仿宋_GB2312" w:cs="Times New Roman"/>
        </w:rPr>
      </w:pPr>
    </w:p>
    <w:p w14:paraId="37958CB3">
      <w:pPr>
        <w:pStyle w:val="2"/>
        <w:spacing w:line="270" w:lineRule="auto"/>
        <w:rPr>
          <w:rFonts w:hint="default" w:ascii="Times New Roman" w:hAnsi="Times New Roman" w:eastAsia="仿宋_GB2312" w:cs="Times New Roman"/>
        </w:rPr>
      </w:pPr>
    </w:p>
    <w:p w14:paraId="186DA18B">
      <w:pPr>
        <w:pStyle w:val="2"/>
        <w:spacing w:line="271" w:lineRule="auto"/>
        <w:rPr>
          <w:rFonts w:hint="default" w:ascii="Times New Roman" w:hAnsi="Times New Roman" w:eastAsia="仿宋_GB2312" w:cs="Times New Roman"/>
        </w:rPr>
      </w:pPr>
    </w:p>
    <w:p w14:paraId="68FD1EDA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6B2CBEAF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0E10C43E">
      <w:pPr>
        <w:spacing w:before="101" w:line="224" w:lineRule="auto"/>
        <w:ind w:left="667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八、国有资本经营预算财政拨款支出决算表</w:t>
      </w:r>
    </w:p>
    <w:p w14:paraId="45E2B815">
      <w:pPr>
        <w:spacing w:before="182" w:line="4817" w:lineRule="exact"/>
        <w:ind w:firstLine="28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96"/>
        </w:rPr>
        <w:drawing>
          <wp:inline distT="0" distB="0" distL="0" distR="0">
            <wp:extent cx="5254625" cy="3058160"/>
            <wp:effectExtent l="0" t="0" r="0" b="0"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55259" cy="3058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00DE4">
      <w:pPr>
        <w:pStyle w:val="2"/>
        <w:spacing w:line="253" w:lineRule="auto"/>
        <w:rPr>
          <w:rFonts w:hint="default" w:ascii="Times New Roman" w:hAnsi="Times New Roman" w:eastAsia="仿宋_GB2312" w:cs="Times New Roman"/>
        </w:rPr>
      </w:pPr>
    </w:p>
    <w:p w14:paraId="49D71A80">
      <w:pPr>
        <w:pStyle w:val="2"/>
        <w:spacing w:line="253" w:lineRule="auto"/>
        <w:rPr>
          <w:rFonts w:hint="default" w:ascii="Times New Roman" w:hAnsi="Times New Roman" w:eastAsia="仿宋_GB2312" w:cs="Times New Roman"/>
        </w:rPr>
      </w:pPr>
    </w:p>
    <w:p w14:paraId="6461A985">
      <w:pPr>
        <w:pStyle w:val="2"/>
        <w:spacing w:line="253" w:lineRule="auto"/>
        <w:rPr>
          <w:rFonts w:hint="default" w:ascii="Times New Roman" w:hAnsi="Times New Roman" w:eastAsia="仿宋_GB2312" w:cs="Times New Roman"/>
        </w:rPr>
      </w:pPr>
    </w:p>
    <w:p w14:paraId="44EBBC8B">
      <w:pPr>
        <w:spacing w:before="101" w:line="364" w:lineRule="auto"/>
        <w:ind w:left="24" w:right="13" w:firstLine="650"/>
        <w:jc w:val="both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color w:val="FF0000"/>
          <w:spacing w:val="8"/>
          <w:sz w:val="31"/>
          <w:szCs w:val="31"/>
        </w:rPr>
        <w:br w:type="textWrapping"/>
      </w:r>
    </w:p>
    <w:p w14:paraId="495BE596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75BF3284">
      <w:pPr>
        <w:spacing w:before="101" w:line="224" w:lineRule="auto"/>
        <w:ind w:left="675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九、财政拨款“三公”经费支出决算表</w:t>
      </w:r>
    </w:p>
    <w:p w14:paraId="278AA62F">
      <w:pPr>
        <w:spacing w:before="96" w:line="5302" w:lineRule="exact"/>
        <w:ind w:firstLine="237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106"/>
        </w:rPr>
        <w:drawing>
          <wp:inline distT="0" distB="0" distL="0" distR="0">
            <wp:extent cx="4991100" cy="3366770"/>
            <wp:effectExtent l="0" t="0" r="0" b="0"/>
            <wp:docPr id="18" name="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 18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3366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CEAD5A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4224E53D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1DE4AD14">
      <w:pPr>
        <w:spacing w:before="100" w:line="224" w:lineRule="auto"/>
        <w:ind w:left="30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十、部门预算项目支出绩效自评表</w:t>
      </w:r>
    </w:p>
    <w:p w14:paraId="58930D1D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4437F56F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06A97532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5775F52E">
      <w:pPr>
        <w:spacing w:line="9847" w:lineRule="exact"/>
        <w:ind w:firstLine="297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196"/>
        </w:rPr>
        <w:drawing>
          <wp:inline distT="0" distB="0" distL="0" distR="0">
            <wp:extent cx="4912995" cy="6252210"/>
            <wp:effectExtent l="0" t="0" r="0" b="0"/>
            <wp:docPr id="20" name="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 20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913629" cy="6252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C8464D">
      <w:pPr>
        <w:spacing w:line="9847" w:lineRule="exact"/>
        <w:rPr>
          <w:rFonts w:hint="default" w:ascii="Times New Roman" w:hAnsi="Times New Roman" w:eastAsia="仿宋_GB2312" w:cs="Times New Roman"/>
        </w:rPr>
        <w:sectPr>
          <w:footerReference r:id="rId9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4531689E">
      <w:pPr>
        <w:spacing w:before="225" w:line="443" w:lineRule="exact"/>
        <w:ind w:left="482"/>
        <w:outlineLvl w:val="0"/>
        <w:rPr>
          <w:rFonts w:hint="default" w:ascii="Times New Roman" w:hAnsi="Times New Roman" w:eastAsia="仿宋_GB2312" w:cs="Times New Roman"/>
          <w:b/>
          <w:bCs/>
          <w:sz w:val="43"/>
          <w:szCs w:val="43"/>
        </w:rPr>
      </w:pPr>
      <w:r>
        <w:rPr>
          <w:rFonts w:hint="default" w:ascii="Times New Roman" w:hAnsi="Times New Roman" w:eastAsia="仿宋_GB2312" w:cs="Times New Roman"/>
          <w:b/>
          <w:bCs/>
          <w:spacing w:val="5"/>
          <w:position w:val="-2"/>
          <w:sz w:val="43"/>
          <w:szCs w:val="43"/>
        </w:rPr>
        <w:t>第三部分</w:t>
      </w:r>
      <w:r>
        <w:rPr>
          <w:rFonts w:hint="default" w:ascii="Times New Roman" w:hAnsi="Times New Roman" w:eastAsia="仿宋_GB2312" w:cs="Times New Roman"/>
          <w:b/>
          <w:bCs/>
          <w:spacing w:val="103"/>
          <w:position w:val="-2"/>
          <w:sz w:val="43"/>
          <w:szCs w:val="43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5"/>
          <w:position w:val="-2"/>
          <w:sz w:val="43"/>
          <w:szCs w:val="43"/>
        </w:rPr>
        <w:t>2023年度部门决算情况说明</w:t>
      </w:r>
    </w:p>
    <w:p w14:paraId="1583DF46">
      <w:pPr>
        <w:pStyle w:val="2"/>
        <w:spacing w:line="314" w:lineRule="auto"/>
        <w:rPr>
          <w:rFonts w:hint="default" w:ascii="Times New Roman" w:hAnsi="Times New Roman" w:eastAsia="仿宋_GB2312" w:cs="Times New Roman"/>
        </w:rPr>
      </w:pPr>
    </w:p>
    <w:p w14:paraId="4B5E6447">
      <w:pPr>
        <w:pStyle w:val="2"/>
        <w:spacing w:line="314" w:lineRule="auto"/>
        <w:rPr>
          <w:rFonts w:hint="default" w:ascii="Times New Roman" w:hAnsi="Times New Roman" w:eastAsia="仿宋_GB2312" w:cs="Times New Roman"/>
        </w:rPr>
      </w:pPr>
    </w:p>
    <w:p w14:paraId="19128DE2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2D59620E">
      <w:pPr>
        <w:spacing w:before="101" w:line="224" w:lineRule="auto"/>
        <w:ind w:left="67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一、收入支出决算总体情况说明</w:t>
      </w:r>
    </w:p>
    <w:p w14:paraId="50ACBFA3">
      <w:pPr>
        <w:spacing w:before="248" w:line="362" w:lineRule="auto"/>
        <w:ind w:left="36" w:right="113" w:firstLine="634"/>
        <w:rPr>
          <w:rFonts w:hint="eastAsia" w:ascii="Times New Roman" w:hAnsi="Times New Roman" w:eastAsia="仿宋_GB2312" w:cs="Times New Roman"/>
          <w:spacing w:val="0"/>
          <w:sz w:val="31"/>
          <w:szCs w:val="31"/>
          <w:lang w:val="en-US" w:eastAsia="zh-CN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2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年度收、支总计均为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1864.52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万元。与</w:t>
      </w:r>
      <w:r>
        <w:rPr>
          <w:rFonts w:hint="default" w:ascii="Times New Roman" w:hAnsi="Times New Roman" w:eastAsia="仿宋_GB2312" w:cs="Times New Roman"/>
          <w:spacing w:val="-3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3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年度相比，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收、支总计各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增加129.02</w:t>
      </w:r>
      <w:r>
        <w:rPr>
          <w:rFonts w:hint="default" w:ascii="Times New Roman" w:hAnsi="Times New Roman" w:eastAsia="仿宋_GB2312" w:cs="Times New Roman"/>
          <w:spacing w:val="3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增长6.9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%。主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0"/>
          <w:sz w:val="31"/>
          <w:szCs w:val="31"/>
        </w:rPr>
        <w:t>要原因：</w:t>
      </w:r>
      <w:r>
        <w:rPr>
          <w:rFonts w:hint="eastAsia" w:ascii="Times New Roman" w:hAnsi="Times New Roman" w:eastAsia="仿宋_GB2312" w:cs="Times New Roman"/>
          <w:spacing w:val="-10"/>
          <w:sz w:val="31"/>
          <w:szCs w:val="31"/>
          <w:lang w:val="en-US" w:eastAsia="zh-CN"/>
        </w:rPr>
        <w:t>本</w:t>
      </w:r>
      <w:r>
        <w:rPr>
          <w:rFonts w:hint="eastAsia" w:ascii="Times New Roman" w:hAnsi="Times New Roman" w:eastAsia="仿宋_GB2312" w:cs="Times New Roman"/>
          <w:spacing w:val="0"/>
          <w:sz w:val="31"/>
          <w:szCs w:val="31"/>
          <w:lang w:val="en-US" w:eastAsia="zh-CN"/>
        </w:rPr>
        <w:t>年度增加清算中人职业年金。</w:t>
      </w:r>
    </w:p>
    <w:p w14:paraId="4D4BC01D">
      <w:pPr>
        <w:spacing w:before="248" w:line="362" w:lineRule="auto"/>
        <w:ind w:right="113"/>
        <w:rPr>
          <w:rFonts w:hint="default" w:ascii="Times New Roman" w:hAnsi="Times New Roman" w:eastAsia="仿宋_GB2312" w:cs="Times New Roman"/>
          <w:spacing w:val="0"/>
          <w:sz w:val="31"/>
          <w:szCs w:val="31"/>
          <w:lang w:val="en-US" w:eastAsia="zh-CN"/>
        </w:rPr>
      </w:pPr>
      <w:r>
        <w:rPr>
          <w:rFonts w:hint="default" w:ascii="Times New Roman" w:hAnsi="Times New Roman" w:eastAsia="仿宋_GB2312" w:cs="Times New Roman"/>
          <w:spacing w:val="0"/>
          <w:sz w:val="31"/>
          <w:szCs w:val="31"/>
          <w:lang w:val="en-US" w:eastAsia="zh-CN"/>
        </w:rPr>
        <w:drawing>
          <wp:inline distT="0" distB="0" distL="114300" distR="114300">
            <wp:extent cx="5256530" cy="2988310"/>
            <wp:effectExtent l="5080" t="4445" r="15240" b="17145"/>
            <wp:docPr id="7" name="图表 7" descr="7b0a202020202263686172745265734964223a202234353638333034220a7d0a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14:paraId="46D36E01">
      <w:pPr>
        <w:pStyle w:val="2"/>
        <w:spacing w:line="260" w:lineRule="auto"/>
        <w:rPr>
          <w:rFonts w:hint="default" w:ascii="Times New Roman" w:hAnsi="Times New Roman" w:eastAsia="仿宋_GB2312" w:cs="Times New Roman"/>
        </w:rPr>
      </w:pPr>
    </w:p>
    <w:p w14:paraId="56C1F422">
      <w:pPr>
        <w:spacing w:before="50" w:line="224" w:lineRule="auto"/>
        <w:ind w:left="67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二、收入决算情况说明</w:t>
      </w:r>
    </w:p>
    <w:p w14:paraId="7F512259">
      <w:pPr>
        <w:spacing w:before="253" w:line="368" w:lineRule="auto"/>
        <w:ind w:left="23" w:firstLine="644"/>
        <w:jc w:val="both"/>
        <w:rPr>
          <w:rFonts w:hint="default" w:ascii="Times New Roman" w:hAnsi="Times New Roman" w:eastAsia="仿宋_GB2312" w:cs="Times New Roman"/>
          <w:spacing w:val="0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本年收入合计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 xml:space="preserve">1864.4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万元，其中：财政拨款收入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1864.25</w:t>
      </w:r>
      <w:r>
        <w:rPr>
          <w:rFonts w:hint="default" w:ascii="Times New Roman" w:hAnsi="Times New Roman" w:eastAsia="仿宋_GB2312" w:cs="Times New Roman"/>
          <w:spacing w:val="2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8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上年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增加128.27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万元，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增长6.9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%，主要是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上年度清算中人职业年金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；上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级补助收入</w:t>
      </w:r>
      <w:r>
        <w:rPr>
          <w:rFonts w:hint="default" w:ascii="Times New Roman" w:hAnsi="Times New Roman" w:eastAsia="仿宋_GB2312" w:cs="Times New Roman"/>
          <w:spacing w:val="44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4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万元，比上年增加</w:t>
      </w:r>
      <w:r>
        <w:rPr>
          <w:rFonts w:hint="eastAsia" w:ascii="Times New Roman" w:hAnsi="Times New Roman" w:eastAsia="仿宋_GB2312" w:cs="Times New Roman"/>
          <w:spacing w:val="-1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万元，增长</w:t>
      </w:r>
      <w:r>
        <w:rPr>
          <w:rFonts w:hint="eastAsia" w:ascii="Times New Roman" w:hAnsi="Times New Roman" w:eastAsia="仿宋_GB2312" w:cs="Times New Roman"/>
          <w:spacing w:val="-1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%，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主要是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……；事业收入 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万元，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比上年增加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）万元，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增长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%，主要是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……；经营收入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 万元，</w:t>
      </w:r>
      <w:r>
        <w:rPr>
          <w:rFonts w:hint="default" w:ascii="Times New Roman" w:hAnsi="Times New Roman" w:eastAsia="仿宋_GB2312" w:cs="Times New Roman"/>
          <w:spacing w:val="-8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上年增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加（减少）万元，增长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%，主要是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……；附属单位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 xml:space="preserve">上缴收入 </w:t>
      </w:r>
      <w:r>
        <w:rPr>
          <w:rFonts w:hint="eastAsia" w:ascii="Times New Roman" w:hAnsi="Times New Roman" w:eastAsia="仿宋_GB2312" w:cs="Times New Roman"/>
          <w:spacing w:val="-9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 xml:space="preserve"> 万元，比上年增加</w:t>
      </w:r>
      <w:r>
        <w:rPr>
          <w:rFonts w:hint="eastAsia" w:ascii="Times New Roman" w:hAnsi="Times New Roman" w:eastAsia="仿宋_GB2312" w:cs="Times New Roman"/>
          <w:spacing w:val="-9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万元，增长</w:t>
      </w:r>
      <w:r>
        <w:rPr>
          <w:rFonts w:hint="eastAsia" w:ascii="Times New Roman" w:hAnsi="Times New Roman" w:eastAsia="仿宋_GB2312" w:cs="Times New Roman"/>
          <w:spacing w:val="-9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%，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主要是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……；其他收入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 xml:space="preserve">0.14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比上年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增加0.01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增长40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%，主要是</w:t>
      </w:r>
      <w:r>
        <w:rPr>
          <w:rFonts w:hint="eastAsia" w:ascii="Times New Roman" w:hAnsi="Times New Roman" w:eastAsia="仿宋_GB2312" w:cs="Times New Roman"/>
          <w:spacing w:val="0"/>
          <w:sz w:val="31"/>
          <w:szCs w:val="31"/>
          <w:lang w:val="en-US" w:eastAsia="zh-CN"/>
        </w:rPr>
        <w:t>银行存款利息增加</w:t>
      </w:r>
      <w:r>
        <w:rPr>
          <w:rFonts w:hint="default" w:ascii="Times New Roman" w:hAnsi="Times New Roman" w:eastAsia="仿宋_GB2312" w:cs="Times New Roman"/>
          <w:spacing w:val="0"/>
          <w:sz w:val="31"/>
          <w:szCs w:val="31"/>
        </w:rPr>
        <w:t>。</w:t>
      </w:r>
    </w:p>
    <w:p w14:paraId="37E4E27C">
      <w:pPr>
        <w:spacing w:before="253" w:line="368" w:lineRule="auto"/>
        <w:jc w:val="both"/>
        <w:rPr>
          <w:rFonts w:hint="eastAsia" w:ascii="Times New Roman" w:hAnsi="Times New Roman" w:eastAsia="仿宋_GB2312" w:cs="Times New Roman"/>
          <w:spacing w:val="0"/>
          <w:sz w:val="31"/>
          <w:szCs w:val="31"/>
          <w:lang w:eastAsia="zh-CN"/>
        </w:rPr>
      </w:pPr>
      <w:r>
        <w:rPr>
          <w:rFonts w:hint="eastAsia" w:ascii="Times New Roman" w:hAnsi="Times New Roman" w:eastAsia="仿宋_GB2312" w:cs="Times New Roman"/>
          <w:spacing w:val="0"/>
          <w:sz w:val="31"/>
          <w:szCs w:val="31"/>
          <w:lang w:eastAsia="zh-CN"/>
        </w:rPr>
        <w:drawing>
          <wp:inline distT="0" distB="0" distL="114300" distR="114300">
            <wp:extent cx="5256530" cy="2988310"/>
            <wp:effectExtent l="5080" t="4445" r="15240" b="55245"/>
            <wp:docPr id="8" name="图表 8" descr="7b0a202020202263686172745265734964223a20223230343736343637220a7d0a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14:paraId="4E3F8255">
      <w:pPr>
        <w:spacing w:before="158" w:line="224" w:lineRule="auto"/>
        <w:ind w:left="67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三、支出决算情况说明</w:t>
      </w:r>
    </w:p>
    <w:p w14:paraId="5D02CC71">
      <w:pPr>
        <w:spacing w:before="251" w:line="368" w:lineRule="auto"/>
        <w:ind w:left="21" w:firstLine="645"/>
        <w:rPr>
          <w:rFonts w:hint="default" w:ascii="Times New Roman" w:hAnsi="Times New Roman" w:eastAsia="仿宋_GB2312" w:cs="Times New Roman"/>
          <w:spacing w:val="-2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本年支出合计1864.52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 xml:space="preserve"> 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万元，其中：基本支出</w:t>
      </w:r>
      <w:r>
        <w:rPr>
          <w:rFonts w:hint="eastAsia" w:ascii="Times New Roman" w:hAnsi="Times New Roman" w:eastAsia="仿宋_GB2312" w:cs="Times New Roman"/>
          <w:spacing w:val="24"/>
          <w:sz w:val="31"/>
          <w:szCs w:val="31"/>
          <w:lang w:val="en-US" w:eastAsia="zh-CN"/>
        </w:rPr>
        <w:t>1864.52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8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比上年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增加129.14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增加6.9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%，主要是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上一年度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清算退休中人职业年金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eastAsia="zh-CN"/>
        </w:rPr>
        <w:t>；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项目支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出</w:t>
      </w:r>
      <w:r>
        <w:rPr>
          <w:rFonts w:hint="default" w:ascii="Times New Roman" w:hAnsi="Times New Roman" w:eastAsia="仿宋_GB2312" w:cs="Times New Roman"/>
          <w:spacing w:val="47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47"/>
          <w:sz w:val="31"/>
          <w:szCs w:val="31"/>
          <w:lang w:val="en-US" w:eastAsia="zh-CN"/>
        </w:rPr>
        <w:t xml:space="preserve">0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7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比上年增加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万元，增长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%，主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>要是</w:t>
      </w:r>
      <w:r>
        <w:rPr>
          <w:rFonts w:hint="eastAsia" w:ascii="Times New Roman" w:hAnsi="Times New Roman" w:eastAsia="仿宋_GB2312" w:cs="Times New Roman"/>
          <w:spacing w:val="0"/>
          <w:sz w:val="31"/>
          <w:szCs w:val="31"/>
          <w:lang w:val="en-US" w:eastAsia="zh-CN"/>
        </w:rPr>
        <w:t>.......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 xml:space="preserve">；上缴上级支出 </w:t>
      </w:r>
      <w:r>
        <w:rPr>
          <w:rFonts w:hint="eastAsia" w:ascii="Times New Roman" w:hAnsi="Times New Roman" w:eastAsia="仿宋_GB2312" w:cs="Times New Roman"/>
          <w:spacing w:val="-2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 xml:space="preserve"> 万元，比上年增加</w:t>
      </w:r>
      <w:r>
        <w:rPr>
          <w:rFonts w:hint="eastAsia" w:ascii="Times New Roman" w:hAnsi="Times New Roman" w:eastAsia="仿宋_GB2312" w:cs="Times New Roman"/>
          <w:spacing w:val="-2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增长</w:t>
      </w:r>
      <w:r>
        <w:rPr>
          <w:rFonts w:hint="eastAsia" w:ascii="Times New Roman" w:hAnsi="Times New Roman" w:eastAsia="仿宋_GB2312" w:cs="Times New Roman"/>
          <w:spacing w:val="2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%，主要是</w:t>
      </w:r>
      <w:r>
        <w:rPr>
          <w:rFonts w:hint="default" w:ascii="Times New Roman" w:hAnsi="Times New Roman" w:eastAsia="仿宋_GB2312" w:cs="Times New Roman"/>
          <w:spacing w:val="-9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……</w:t>
      </w:r>
      <w:r>
        <w:rPr>
          <w:rFonts w:hint="default" w:ascii="Times New Roman" w:hAnsi="Times New Roman" w:eastAsia="仿宋_GB2312" w:cs="Times New Roman"/>
          <w:spacing w:val="-1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；经营支出</w:t>
      </w:r>
      <w:r>
        <w:rPr>
          <w:rFonts w:hint="default" w:ascii="Times New Roman" w:hAnsi="Times New Roman" w:eastAsia="仿宋_GB2312" w:cs="Times New Roman"/>
          <w:spacing w:val="46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46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7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比上年增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加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万元，增长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%，主要是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……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；对附属单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位补助支出</w:t>
      </w:r>
      <w:r>
        <w:rPr>
          <w:rFonts w:hint="default" w:ascii="Times New Roman" w:hAnsi="Times New Roman" w:eastAsia="仿宋_GB2312" w:cs="Times New Roman"/>
          <w:spacing w:val="45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4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万元，比上年增加</w:t>
      </w:r>
      <w:r>
        <w:rPr>
          <w:rFonts w:hint="eastAsia" w:ascii="Times New Roman" w:hAnsi="Times New Roman" w:eastAsia="仿宋_GB2312" w:cs="Times New Roman"/>
          <w:spacing w:val="-1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万元，增长</w:t>
      </w:r>
      <w:r>
        <w:rPr>
          <w:rFonts w:hint="eastAsia" w:ascii="Times New Roman" w:hAnsi="Times New Roman" w:eastAsia="仿宋_GB2312" w:cs="Times New Roman"/>
          <w:spacing w:val="-1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7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%，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>主要是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>……。</w:t>
      </w:r>
    </w:p>
    <w:p w14:paraId="7CE7B491">
      <w:pPr>
        <w:spacing w:before="251" w:line="368" w:lineRule="auto"/>
        <w:rPr>
          <w:rFonts w:hint="eastAsia" w:ascii="Times New Roman" w:hAnsi="Times New Roman" w:eastAsia="仿宋_GB2312" w:cs="Times New Roman"/>
          <w:spacing w:val="-2"/>
          <w:sz w:val="31"/>
          <w:szCs w:val="31"/>
          <w:lang w:eastAsia="zh-CN"/>
        </w:rPr>
      </w:pPr>
      <w:r>
        <w:rPr>
          <w:rFonts w:hint="eastAsia" w:ascii="Times New Roman" w:hAnsi="Times New Roman" w:eastAsia="仿宋_GB2312" w:cs="Times New Roman"/>
          <w:spacing w:val="-2"/>
          <w:sz w:val="31"/>
          <w:szCs w:val="31"/>
          <w:lang w:eastAsia="zh-CN"/>
        </w:rPr>
        <w:drawing>
          <wp:inline distT="0" distB="0" distL="114300" distR="114300">
            <wp:extent cx="5256530" cy="2988310"/>
            <wp:effectExtent l="5080" t="4445" r="15240" b="55245"/>
            <wp:docPr id="9" name="图表 9" descr="7b0a202020202263686172745265734964223a20223230343736343637220a7d0a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0191EBC9">
      <w:pPr>
        <w:pStyle w:val="2"/>
        <w:spacing w:line="285" w:lineRule="auto"/>
        <w:rPr>
          <w:rFonts w:hint="default" w:ascii="Times New Roman" w:hAnsi="Times New Roman" w:eastAsia="仿宋_GB2312" w:cs="Times New Roman"/>
        </w:rPr>
      </w:pPr>
    </w:p>
    <w:p w14:paraId="13A060AC">
      <w:pPr>
        <w:spacing w:before="101" w:line="224" w:lineRule="auto"/>
        <w:ind w:left="68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四、财政拨款收入支出决算总体情况说明</w:t>
      </w:r>
    </w:p>
    <w:p w14:paraId="4B3BF637">
      <w:pPr>
        <w:spacing w:before="248" w:line="362" w:lineRule="auto"/>
        <w:ind w:left="23" w:right="86" w:firstLine="64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年度财政拨款收、支总计均为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 xml:space="preserve">1864.38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万元，与</w:t>
      </w:r>
      <w:r>
        <w:rPr>
          <w:rFonts w:hint="default" w:ascii="Times New Roman" w:hAnsi="Times New Roman" w:eastAsia="仿宋_GB2312" w:cs="Times New Roman"/>
          <w:spacing w:val="-3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年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相比，财政拨款收、支总计各</w:t>
      </w:r>
      <w:r>
        <w:rPr>
          <w:rFonts w:hint="eastAsia" w:ascii="Times New Roman" w:hAnsi="Times New Roman" w:eastAsia="仿宋_GB2312" w:cs="Times New Roman"/>
          <w:spacing w:val="-9"/>
          <w:sz w:val="31"/>
          <w:szCs w:val="31"/>
          <w:lang w:val="en-US" w:eastAsia="zh-CN"/>
        </w:rPr>
        <w:t>增加129.11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 xml:space="preserve"> 万元，</w:t>
      </w:r>
      <w:r>
        <w:rPr>
          <w:rFonts w:hint="eastAsia" w:ascii="Times New Roman" w:hAnsi="Times New Roman" w:eastAsia="仿宋_GB2312" w:cs="Times New Roman"/>
          <w:spacing w:val="-9"/>
          <w:sz w:val="31"/>
          <w:szCs w:val="31"/>
          <w:lang w:val="en-US" w:eastAsia="zh-CN"/>
        </w:rPr>
        <w:t>增长6.9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%。主要原因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清算退休中人职业年金。</w:t>
      </w:r>
    </w:p>
    <w:p w14:paraId="186B7246">
      <w:pPr>
        <w:pStyle w:val="2"/>
        <w:spacing w:line="285" w:lineRule="auto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56530" cy="3093720"/>
            <wp:effectExtent l="4445" t="4445" r="15875" b="6985"/>
            <wp:docPr id="10" name="图表 10" descr="7b0a202020202263686172745265734964223a202234353638333034220a7d0a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14:paraId="061B836E">
      <w:pPr>
        <w:pStyle w:val="2"/>
        <w:spacing w:line="286" w:lineRule="auto"/>
        <w:rPr>
          <w:rFonts w:hint="default" w:ascii="Times New Roman" w:hAnsi="Times New Roman" w:eastAsia="仿宋_GB2312" w:cs="Times New Roman"/>
        </w:rPr>
      </w:pPr>
    </w:p>
    <w:p w14:paraId="1F370688">
      <w:pPr>
        <w:spacing w:before="101" w:line="224" w:lineRule="auto"/>
        <w:ind w:left="67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五、一般公共预算财政拨款支出决算情况说明</w:t>
      </w:r>
    </w:p>
    <w:p w14:paraId="23C04410">
      <w:pPr>
        <w:spacing w:before="248" w:line="223" w:lineRule="auto"/>
        <w:ind w:left="662"/>
        <w:outlineLvl w:val="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-1"/>
          <w:sz w:val="31"/>
          <w:szCs w:val="31"/>
        </w:rPr>
        <w:t>（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-1"/>
          <w:sz w:val="31"/>
          <w:szCs w:val="31"/>
        </w:rPr>
        <w:t>一</w:t>
      </w:r>
      <w:r>
        <w:rPr>
          <w:rFonts w:hint="default" w:ascii="Times New Roman" w:hAnsi="Times New Roman" w:eastAsia="仿宋_GB2312" w:cs="Times New Roman"/>
          <w:spacing w:val="-6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-1"/>
          <w:sz w:val="31"/>
          <w:szCs w:val="31"/>
        </w:rPr>
        <w:t>）一般公共预算财政拨款支出决算总体情况</w:t>
      </w:r>
    </w:p>
    <w:p w14:paraId="3DBECA28">
      <w:pPr>
        <w:spacing w:line="240" w:lineRule="auto"/>
        <w:ind w:left="0" w:firstLine="636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5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年度一般公共预算财政拨款支出1864.38万元，占本年支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出合计的  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%。与 2022</w:t>
      </w:r>
      <w:r>
        <w:rPr>
          <w:rFonts w:hint="default" w:ascii="Times New Roman" w:hAnsi="Times New Roman" w:eastAsia="仿宋_GB2312" w:cs="Times New Roman"/>
          <w:spacing w:val="-5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年度相比，一般公共预算财政拨款支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出</w:t>
      </w:r>
      <w:r>
        <w:rPr>
          <w:rFonts w:hint="eastAsia" w:ascii="Times New Roman" w:hAnsi="Times New Roman" w:eastAsia="仿宋_GB2312" w:cs="Times New Roman"/>
          <w:spacing w:val="-1"/>
          <w:sz w:val="31"/>
          <w:szCs w:val="31"/>
          <w:lang w:val="en-US" w:eastAsia="zh-CN"/>
        </w:rPr>
        <w:t>增加129.11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万元，</w:t>
      </w:r>
      <w:r>
        <w:rPr>
          <w:rFonts w:hint="eastAsia" w:ascii="Times New Roman" w:hAnsi="Times New Roman" w:eastAsia="仿宋_GB2312" w:cs="Times New Roman"/>
          <w:spacing w:val="-1"/>
          <w:sz w:val="31"/>
          <w:szCs w:val="31"/>
          <w:lang w:val="en-US" w:eastAsia="zh-CN"/>
        </w:rPr>
        <w:t>增长6.9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 xml:space="preserve">  %。主要原因：</w:t>
      </w:r>
      <w:r>
        <w:rPr>
          <w:rFonts w:hint="default" w:ascii="Times New Roman" w:hAnsi="Times New Roman" w:eastAsia="仿宋_GB2312" w:cs="Times New Roman"/>
          <w:spacing w:val="-53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-53"/>
          <w:sz w:val="31"/>
          <w:szCs w:val="31"/>
          <w:lang w:val="en-US" w:eastAsia="zh-CN"/>
        </w:rPr>
        <w:t>上一年度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清算退休中人职业年金。</w:t>
      </w:r>
    </w:p>
    <w:p w14:paraId="1A1A7C0A">
      <w:pPr>
        <w:spacing w:before="49" w:line="356" w:lineRule="auto"/>
        <w:ind w:right="92"/>
        <w:rPr>
          <w:rFonts w:hint="eastAsia" w:ascii="Times New Roman" w:hAnsi="Times New Roman" w:eastAsia="仿宋_GB2312" w:cs="Times New Roman"/>
          <w:color w:val="FF0000"/>
          <w:spacing w:val="2"/>
          <w:sz w:val="31"/>
          <w:szCs w:val="31"/>
          <w:lang w:eastAsia="zh-CN"/>
        </w:rPr>
      </w:pPr>
      <w:r>
        <w:rPr>
          <w:rFonts w:hint="eastAsia" w:ascii="Times New Roman" w:hAnsi="Times New Roman" w:eastAsia="仿宋_GB2312" w:cs="Times New Roman"/>
          <w:color w:val="FF0000"/>
          <w:spacing w:val="2"/>
          <w:sz w:val="31"/>
          <w:szCs w:val="31"/>
          <w:lang w:eastAsia="zh-CN"/>
        </w:rPr>
        <w:drawing>
          <wp:inline distT="0" distB="0" distL="114300" distR="114300">
            <wp:extent cx="5256530" cy="2988310"/>
            <wp:effectExtent l="5080" t="4445" r="15240" b="55245"/>
            <wp:docPr id="11" name="图表 11" descr="7b0a202020202263686172745265734964223a20223230343732303435220a7d0a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4"/>
              </a:graphicData>
            </a:graphic>
          </wp:inline>
        </w:drawing>
      </w:r>
    </w:p>
    <w:p w14:paraId="5244FAD3">
      <w:pPr>
        <w:spacing w:before="51" w:line="223" w:lineRule="auto"/>
        <w:ind w:left="659"/>
        <w:outlineLvl w:val="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4"/>
          <w:sz w:val="31"/>
          <w:szCs w:val="31"/>
        </w:rPr>
        <w:t>（二）</w:t>
      </w:r>
      <w:r>
        <w:rPr>
          <w:rFonts w:hint="default" w:ascii="Times New Roman" w:hAnsi="Times New Roman" w:eastAsia="仿宋_GB2312" w:cs="Times New Roman"/>
          <w:spacing w:val="-8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4"/>
          <w:sz w:val="31"/>
          <w:szCs w:val="31"/>
        </w:rPr>
        <w:t>一般公共预算财政拨款支出决算结构情况</w:t>
      </w:r>
    </w:p>
    <w:p w14:paraId="3B06312C">
      <w:pPr>
        <w:spacing w:before="251" w:line="364" w:lineRule="auto"/>
        <w:ind w:left="68" w:right="7" w:firstLine="603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5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年度一般公共预算财政拨款支出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1864.38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万元，主要用于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6"/>
          <w:sz w:val="31"/>
          <w:szCs w:val="31"/>
        </w:rPr>
        <w:t>以下方面：教育支出</w:t>
      </w:r>
      <w:r>
        <w:rPr>
          <w:rFonts w:hint="eastAsia" w:ascii="Times New Roman" w:hAnsi="Times New Roman" w:eastAsia="仿宋_GB2312" w:cs="Times New Roman"/>
          <w:spacing w:val="-6"/>
          <w:sz w:val="31"/>
          <w:szCs w:val="31"/>
          <w:lang w:val="en-US" w:eastAsia="zh-CN"/>
        </w:rPr>
        <w:t>1330.78</w:t>
      </w:r>
      <w:r>
        <w:rPr>
          <w:rFonts w:hint="default" w:ascii="Times New Roman" w:hAnsi="Times New Roman" w:eastAsia="仿宋_GB2312" w:cs="Times New Roman"/>
          <w:spacing w:val="-6"/>
          <w:sz w:val="31"/>
          <w:szCs w:val="31"/>
        </w:rPr>
        <w:t>，占</w:t>
      </w:r>
      <w:r>
        <w:rPr>
          <w:rFonts w:hint="eastAsia" w:ascii="Times New Roman" w:hAnsi="Times New Roman" w:eastAsia="仿宋_GB2312" w:cs="Times New Roman"/>
          <w:spacing w:val="-6"/>
          <w:sz w:val="31"/>
          <w:szCs w:val="31"/>
          <w:lang w:val="en-US" w:eastAsia="zh-CN"/>
        </w:rPr>
        <w:t>75.4</w:t>
      </w:r>
      <w:r>
        <w:rPr>
          <w:rFonts w:hint="default" w:ascii="Times New Roman" w:hAnsi="Times New Roman" w:eastAsia="仿宋_GB2312" w:cs="Times New Roman"/>
          <w:spacing w:val="-6"/>
          <w:sz w:val="31"/>
          <w:szCs w:val="31"/>
        </w:rPr>
        <w:t xml:space="preserve"> %；社会保障和就业支出</w:t>
      </w:r>
      <w:r>
        <w:rPr>
          <w:rFonts w:hint="eastAsia" w:ascii="Times New Roman" w:hAnsi="Times New Roman" w:eastAsia="仿宋_GB2312" w:cs="Times New Roman"/>
          <w:spacing w:val="-6"/>
          <w:sz w:val="31"/>
          <w:szCs w:val="31"/>
          <w:lang w:val="en-US" w:eastAsia="zh-CN"/>
        </w:rPr>
        <w:t>361.97</w:t>
      </w:r>
      <w:r>
        <w:rPr>
          <w:rFonts w:hint="default" w:ascii="Times New Roman" w:hAnsi="Times New Roman" w:eastAsia="仿宋_GB2312" w:cs="Times New Roman"/>
          <w:spacing w:val="-6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占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13.7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%；</w:t>
      </w:r>
      <w:r>
        <w:rPr>
          <w:rFonts w:hint="default" w:ascii="Times New Roman" w:hAnsi="Times New Roman" w:eastAsia="仿宋_GB2312" w:cs="Times New Roman"/>
          <w:sz w:val="31"/>
          <w:szCs w:val="31"/>
        </w:rPr>
        <w:t>卫生健康支出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72.32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万元，占 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4.6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%；</w:t>
      </w:r>
      <w:r>
        <w:rPr>
          <w:rFonts w:hint="default" w:ascii="Times New Roman" w:hAnsi="Times New Roman" w:eastAsia="仿宋_GB2312" w:cs="Times New Roman"/>
          <w:sz w:val="31"/>
          <w:szCs w:val="31"/>
        </w:rPr>
        <w:t>住房保障支出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99.31</w:t>
      </w:r>
      <w:r>
        <w:rPr>
          <w:rFonts w:hint="default" w:ascii="Times New Roman" w:hAnsi="Times New Roman" w:eastAsia="仿宋_GB2312" w:cs="Times New Roman"/>
          <w:spacing w:val="2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万元，占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6.3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%；</w:t>
      </w:r>
    </w:p>
    <w:p w14:paraId="5B68D5D0">
      <w:pPr>
        <w:spacing w:before="49" w:line="356" w:lineRule="auto"/>
        <w:ind w:right="91"/>
        <w:rPr>
          <w:rFonts w:hint="eastAsia" w:ascii="Times New Roman" w:hAnsi="Times New Roman" w:eastAsia="仿宋_GB2312" w:cs="Times New Roman"/>
          <w:color w:val="FF0000"/>
          <w:spacing w:val="4"/>
          <w:sz w:val="31"/>
          <w:szCs w:val="31"/>
          <w:lang w:eastAsia="zh-CN"/>
        </w:rPr>
      </w:pPr>
      <w:r>
        <w:rPr>
          <w:rFonts w:hint="eastAsia" w:ascii="Times New Roman" w:hAnsi="Times New Roman" w:eastAsia="仿宋_GB2312" w:cs="Times New Roman"/>
          <w:color w:val="FF0000"/>
          <w:spacing w:val="4"/>
          <w:sz w:val="31"/>
          <w:szCs w:val="31"/>
          <w:lang w:eastAsia="zh-CN"/>
        </w:rPr>
        <w:drawing>
          <wp:inline distT="0" distB="0" distL="114300" distR="114300">
            <wp:extent cx="5256530" cy="2988310"/>
            <wp:effectExtent l="5080" t="4445" r="15240" b="55245"/>
            <wp:docPr id="15" name="图表 15" descr="7b0a202020202263686172745265734964223a20223230343736343637220a7d0a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5"/>
              </a:graphicData>
            </a:graphic>
          </wp:inline>
        </w:drawing>
      </w:r>
    </w:p>
    <w:p w14:paraId="60312B63">
      <w:pPr>
        <w:spacing w:before="49" w:line="356" w:lineRule="auto"/>
        <w:ind w:right="91" w:firstLine="638" w:firstLineChars="20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4"/>
          <w:sz w:val="31"/>
          <w:szCs w:val="31"/>
        </w:rPr>
        <w:t>（三）</w:t>
      </w:r>
      <w:r>
        <w:rPr>
          <w:rFonts w:hint="default" w:ascii="Times New Roman" w:hAnsi="Times New Roman" w:eastAsia="仿宋_GB2312" w:cs="Times New Roman"/>
          <w:spacing w:val="-8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4"/>
          <w:sz w:val="31"/>
          <w:szCs w:val="31"/>
        </w:rPr>
        <w:t>一般公共预算财政拨款支出决算具体情况</w:t>
      </w:r>
    </w:p>
    <w:p w14:paraId="1DF21809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520" w:lineRule="exact"/>
        <w:ind w:firstLine="640" w:firstLineChars="200"/>
        <w:textAlignment w:val="baseline"/>
        <w:rPr>
          <w:rFonts w:hint="eastAsia" w:ascii="仿宋" w:hAnsi="仿宋" w:eastAsia="仿宋"/>
          <w:sz w:val="32"/>
          <w:szCs w:val="30"/>
        </w:rPr>
      </w:pPr>
      <w:r>
        <w:rPr>
          <w:rFonts w:hint="eastAsia" w:ascii="仿宋" w:hAnsi="仿宋" w:eastAsia="仿宋"/>
          <w:sz w:val="32"/>
          <w:szCs w:val="30"/>
        </w:rPr>
        <w:t>202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3</w:t>
      </w:r>
      <w:r>
        <w:rPr>
          <w:rFonts w:hint="eastAsia" w:ascii="仿宋" w:hAnsi="仿宋" w:eastAsia="仿宋"/>
          <w:sz w:val="32"/>
          <w:szCs w:val="30"/>
        </w:rPr>
        <w:t>年度一般</w:t>
      </w:r>
      <w:r>
        <w:rPr>
          <w:rFonts w:ascii="仿宋" w:hAnsi="仿宋" w:eastAsia="仿宋"/>
          <w:sz w:val="32"/>
          <w:szCs w:val="30"/>
        </w:rPr>
        <w:t>公共预算</w:t>
      </w:r>
      <w:r>
        <w:rPr>
          <w:rFonts w:hint="eastAsia" w:ascii="仿宋" w:hAnsi="仿宋" w:eastAsia="仿宋"/>
          <w:sz w:val="32"/>
          <w:szCs w:val="30"/>
        </w:rPr>
        <w:t>财政拨款支出年初预算为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1864.38</w:t>
      </w:r>
      <w:r>
        <w:rPr>
          <w:rFonts w:hint="eastAsia" w:ascii="仿宋" w:hAnsi="仿宋" w:eastAsia="仿宋"/>
          <w:sz w:val="32"/>
          <w:szCs w:val="30"/>
        </w:rPr>
        <w:t>万元，支出决算为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1864.38</w:t>
      </w:r>
      <w:r>
        <w:rPr>
          <w:rFonts w:hint="eastAsia" w:ascii="仿宋" w:hAnsi="仿宋" w:eastAsia="仿宋"/>
          <w:sz w:val="32"/>
          <w:szCs w:val="30"/>
        </w:rPr>
        <w:t>万元，完成年初预算的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100</w:t>
      </w:r>
      <w:r>
        <w:rPr>
          <w:rFonts w:hint="eastAsia" w:ascii="仿宋" w:hAnsi="仿宋" w:eastAsia="仿宋"/>
          <w:sz w:val="32"/>
          <w:szCs w:val="30"/>
        </w:rPr>
        <w:t>%。其中：</w:t>
      </w:r>
    </w:p>
    <w:p w14:paraId="4C1D7F13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00" w:lineRule="exact"/>
        <w:ind w:firstLine="640" w:firstLineChars="200"/>
        <w:textAlignment w:val="baseline"/>
        <w:rPr>
          <w:rFonts w:hint="eastAsia" w:ascii="仿宋" w:hAnsi="仿宋" w:eastAsia="仿宋"/>
          <w:sz w:val="32"/>
        </w:rPr>
      </w:pPr>
      <w:r>
        <w:rPr>
          <w:rFonts w:hint="eastAsia" w:ascii="仿宋" w:hAnsi="仿宋" w:eastAsia="仿宋"/>
          <w:sz w:val="32"/>
          <w:lang w:val="en-US" w:eastAsia="zh-CN"/>
        </w:rPr>
        <w:t>1</w:t>
      </w:r>
      <w:r>
        <w:rPr>
          <w:rFonts w:hint="eastAsia" w:ascii="仿宋" w:hAnsi="仿宋" w:eastAsia="仿宋"/>
          <w:sz w:val="32"/>
        </w:rPr>
        <w:t>.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教育</w:t>
      </w:r>
      <w:r>
        <w:rPr>
          <w:rFonts w:hint="eastAsia" w:ascii="仿宋" w:hAnsi="仿宋" w:eastAsia="仿宋"/>
          <w:sz w:val="32"/>
          <w:szCs w:val="30"/>
        </w:rPr>
        <w:t>支出年初预算为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1330.78</w:t>
      </w:r>
      <w:r>
        <w:rPr>
          <w:rFonts w:hint="eastAsia" w:ascii="仿宋" w:hAnsi="仿宋" w:eastAsia="仿宋"/>
          <w:sz w:val="32"/>
          <w:szCs w:val="30"/>
        </w:rPr>
        <w:t>万元，支出决算为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1330.78</w:t>
      </w:r>
      <w:r>
        <w:rPr>
          <w:rFonts w:hint="eastAsia" w:ascii="仿宋" w:hAnsi="仿宋" w:eastAsia="仿宋"/>
          <w:sz w:val="32"/>
          <w:szCs w:val="30"/>
        </w:rPr>
        <w:t>万元，完成年初预算的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100</w:t>
      </w:r>
      <w:r>
        <w:rPr>
          <w:rFonts w:hint="eastAsia" w:ascii="仿宋" w:hAnsi="仿宋" w:eastAsia="仿宋"/>
          <w:sz w:val="32"/>
          <w:szCs w:val="30"/>
        </w:rPr>
        <w:t xml:space="preserve"> %。</w:t>
      </w:r>
      <w:r>
        <w:rPr>
          <w:rFonts w:hint="eastAsia" w:ascii="仿宋" w:hAnsi="仿宋" w:eastAsia="仿宋"/>
          <w:sz w:val="32"/>
          <w:szCs w:val="30"/>
          <w:lang w:eastAsia="zh-CN"/>
        </w:rPr>
        <w:t>完成本年</w:t>
      </w:r>
      <w:r>
        <w:rPr>
          <w:rFonts w:hint="eastAsia" w:ascii="仿宋" w:hAnsi="仿宋" w:eastAsia="仿宋"/>
          <w:sz w:val="32"/>
          <w:szCs w:val="30"/>
        </w:rPr>
        <w:t>预算。</w:t>
      </w:r>
    </w:p>
    <w:p w14:paraId="4626792F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00" w:lineRule="exact"/>
        <w:ind w:firstLine="640" w:firstLineChars="200"/>
        <w:textAlignment w:val="baseline"/>
        <w:rPr>
          <w:rFonts w:hint="eastAsia" w:ascii="仿宋" w:hAnsi="仿宋" w:eastAsia="仿宋"/>
          <w:sz w:val="32"/>
        </w:rPr>
      </w:pPr>
      <w:r>
        <w:rPr>
          <w:rFonts w:hint="eastAsia" w:ascii="仿宋" w:hAnsi="仿宋" w:eastAsia="仿宋"/>
          <w:sz w:val="32"/>
          <w:lang w:val="en-US" w:eastAsia="zh-CN"/>
        </w:rPr>
        <w:t>2.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社会保障和就业支出</w:t>
      </w:r>
      <w:r>
        <w:rPr>
          <w:rFonts w:hint="eastAsia" w:ascii="仿宋" w:hAnsi="仿宋" w:eastAsia="仿宋"/>
          <w:sz w:val="32"/>
          <w:szCs w:val="30"/>
        </w:rPr>
        <w:t>预算</w:t>
      </w:r>
      <w:r>
        <w:rPr>
          <w:rFonts w:hint="eastAsia" w:ascii="仿宋" w:hAnsi="仿宋" w:eastAsia="仿宋"/>
          <w:sz w:val="32"/>
          <w:szCs w:val="30"/>
          <w:lang w:eastAsia="zh-CN"/>
        </w:rPr>
        <w:t>为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361.97万元</w:t>
      </w:r>
      <w:r>
        <w:rPr>
          <w:rFonts w:hint="eastAsia" w:ascii="仿宋" w:hAnsi="仿宋" w:eastAsia="仿宋"/>
          <w:sz w:val="32"/>
          <w:szCs w:val="30"/>
        </w:rPr>
        <w:t>，支出决算为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361.97</w:t>
      </w:r>
      <w:r>
        <w:rPr>
          <w:rFonts w:hint="eastAsia" w:ascii="仿宋" w:hAnsi="仿宋" w:eastAsia="仿宋"/>
          <w:sz w:val="32"/>
          <w:szCs w:val="30"/>
        </w:rPr>
        <w:t>万元，</w:t>
      </w:r>
      <w:r>
        <w:rPr>
          <w:rFonts w:hint="eastAsia" w:ascii="仿宋" w:hAnsi="仿宋" w:eastAsia="仿宋"/>
          <w:sz w:val="32"/>
          <w:szCs w:val="30"/>
          <w:lang w:eastAsia="zh-CN"/>
        </w:rPr>
        <w:t>完成本年</w:t>
      </w:r>
      <w:r>
        <w:rPr>
          <w:rFonts w:hint="eastAsia" w:ascii="仿宋" w:hAnsi="仿宋" w:eastAsia="仿宋"/>
          <w:sz w:val="32"/>
          <w:szCs w:val="30"/>
        </w:rPr>
        <w:t>预算。</w:t>
      </w:r>
    </w:p>
    <w:p w14:paraId="7F7664E1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00" w:lineRule="exact"/>
        <w:ind w:firstLine="640" w:firstLineChars="200"/>
        <w:textAlignment w:val="baseline"/>
        <w:rPr>
          <w:rFonts w:hint="eastAsia" w:ascii="仿宋" w:hAnsi="仿宋" w:eastAsia="仿宋"/>
          <w:sz w:val="32"/>
          <w:szCs w:val="30"/>
        </w:rPr>
      </w:pPr>
      <w:r>
        <w:rPr>
          <w:rFonts w:hint="eastAsia" w:ascii="仿宋" w:hAnsi="仿宋" w:eastAsia="仿宋"/>
          <w:sz w:val="32"/>
          <w:szCs w:val="30"/>
          <w:lang w:val="en-US" w:eastAsia="zh-CN"/>
        </w:rPr>
        <w:t>3</w:t>
      </w:r>
      <w:r>
        <w:rPr>
          <w:rFonts w:hint="eastAsia" w:ascii="仿宋" w:hAnsi="仿宋" w:eastAsia="仿宋"/>
          <w:sz w:val="32"/>
          <w:szCs w:val="30"/>
        </w:rPr>
        <w:t>.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卫生健康支出</w:t>
      </w:r>
      <w:r>
        <w:rPr>
          <w:rFonts w:hint="eastAsia" w:ascii="仿宋" w:hAnsi="仿宋" w:eastAsia="仿宋"/>
          <w:sz w:val="32"/>
          <w:szCs w:val="30"/>
        </w:rPr>
        <w:t>预算</w:t>
      </w:r>
      <w:r>
        <w:rPr>
          <w:rFonts w:hint="eastAsia" w:ascii="仿宋" w:hAnsi="仿宋" w:eastAsia="仿宋"/>
          <w:sz w:val="32"/>
          <w:szCs w:val="30"/>
          <w:lang w:eastAsia="zh-CN"/>
        </w:rPr>
        <w:t>为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72.32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万元</w:t>
      </w:r>
      <w:r>
        <w:rPr>
          <w:rFonts w:hint="eastAsia" w:ascii="仿宋" w:hAnsi="仿宋" w:eastAsia="仿宋"/>
          <w:sz w:val="32"/>
          <w:szCs w:val="30"/>
        </w:rPr>
        <w:t>，支出决算为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72.32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</w:t>
      </w:r>
      <w:r>
        <w:rPr>
          <w:rFonts w:hint="eastAsia" w:ascii="仿宋" w:hAnsi="仿宋" w:eastAsia="仿宋"/>
          <w:sz w:val="32"/>
          <w:szCs w:val="30"/>
        </w:rPr>
        <w:t>万元，</w:t>
      </w:r>
      <w:r>
        <w:rPr>
          <w:rFonts w:hint="eastAsia" w:ascii="仿宋" w:hAnsi="仿宋" w:eastAsia="仿宋"/>
          <w:sz w:val="32"/>
          <w:szCs w:val="30"/>
          <w:lang w:eastAsia="zh-CN"/>
        </w:rPr>
        <w:t>完成本年</w:t>
      </w:r>
      <w:r>
        <w:rPr>
          <w:rFonts w:hint="eastAsia" w:ascii="仿宋" w:hAnsi="仿宋" w:eastAsia="仿宋"/>
          <w:sz w:val="32"/>
          <w:szCs w:val="30"/>
        </w:rPr>
        <w:t>预算。</w:t>
      </w:r>
    </w:p>
    <w:p w14:paraId="1FC5C152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00" w:lineRule="exact"/>
        <w:ind w:firstLine="640" w:firstLineChars="200"/>
        <w:textAlignment w:val="baseline"/>
        <w:rPr>
          <w:rFonts w:hint="eastAsia" w:ascii="仿宋" w:hAnsi="仿宋" w:eastAsia="仿宋"/>
          <w:sz w:val="32"/>
          <w:szCs w:val="30"/>
        </w:rPr>
      </w:pPr>
      <w:r>
        <w:rPr>
          <w:rFonts w:hint="eastAsia" w:ascii="仿宋" w:hAnsi="仿宋" w:eastAsia="仿宋"/>
          <w:sz w:val="32"/>
          <w:szCs w:val="30"/>
          <w:lang w:val="en-US" w:eastAsia="zh-CN"/>
        </w:rPr>
        <w:t>4.住房保障支出</w:t>
      </w:r>
      <w:r>
        <w:rPr>
          <w:rFonts w:hint="eastAsia" w:ascii="仿宋" w:hAnsi="仿宋" w:eastAsia="仿宋"/>
          <w:sz w:val="32"/>
          <w:szCs w:val="30"/>
        </w:rPr>
        <w:t>预算</w:t>
      </w:r>
      <w:r>
        <w:rPr>
          <w:rFonts w:hint="eastAsia" w:ascii="仿宋" w:hAnsi="仿宋" w:eastAsia="仿宋"/>
          <w:sz w:val="32"/>
          <w:szCs w:val="30"/>
          <w:lang w:eastAsia="zh-CN"/>
        </w:rPr>
        <w:t>为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99.31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万元</w:t>
      </w:r>
      <w:r>
        <w:rPr>
          <w:rFonts w:hint="eastAsia" w:ascii="仿宋" w:hAnsi="仿宋" w:eastAsia="仿宋"/>
          <w:sz w:val="32"/>
          <w:szCs w:val="30"/>
        </w:rPr>
        <w:t>，支出决算为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99.31</w:t>
      </w:r>
      <w:r>
        <w:rPr>
          <w:rFonts w:hint="eastAsia" w:ascii="仿宋" w:hAnsi="仿宋" w:eastAsia="仿宋"/>
          <w:sz w:val="32"/>
          <w:szCs w:val="30"/>
        </w:rPr>
        <w:t>万元，</w:t>
      </w:r>
      <w:r>
        <w:rPr>
          <w:rFonts w:hint="eastAsia" w:ascii="仿宋" w:hAnsi="仿宋" w:eastAsia="仿宋"/>
          <w:sz w:val="32"/>
          <w:szCs w:val="30"/>
          <w:lang w:eastAsia="zh-CN"/>
        </w:rPr>
        <w:t>完成本年</w:t>
      </w:r>
      <w:r>
        <w:rPr>
          <w:rFonts w:hint="eastAsia" w:ascii="仿宋" w:hAnsi="仿宋" w:eastAsia="仿宋"/>
          <w:sz w:val="32"/>
          <w:szCs w:val="30"/>
        </w:rPr>
        <w:t>预算。</w:t>
      </w:r>
    </w:p>
    <w:p w14:paraId="4AE11DE3">
      <w:pPr>
        <w:pStyle w:val="2"/>
        <w:spacing w:line="255" w:lineRule="auto"/>
        <w:rPr>
          <w:rFonts w:hint="default" w:ascii="Times New Roman" w:hAnsi="Times New Roman" w:eastAsia="仿宋_GB2312" w:cs="Times New Roman"/>
        </w:rPr>
      </w:pPr>
    </w:p>
    <w:p w14:paraId="1E5DC387">
      <w:pPr>
        <w:pStyle w:val="2"/>
        <w:spacing w:line="256" w:lineRule="auto"/>
        <w:rPr>
          <w:rFonts w:hint="default" w:ascii="Times New Roman" w:hAnsi="Times New Roman" w:eastAsia="仿宋_GB2312" w:cs="Times New Roman"/>
        </w:rPr>
      </w:pPr>
    </w:p>
    <w:p w14:paraId="27265BD0">
      <w:pPr>
        <w:pStyle w:val="2"/>
        <w:spacing w:line="256" w:lineRule="auto"/>
        <w:rPr>
          <w:rFonts w:hint="default" w:ascii="Times New Roman" w:hAnsi="Times New Roman" w:eastAsia="仿宋_GB2312" w:cs="Times New Roman"/>
        </w:rPr>
      </w:pPr>
    </w:p>
    <w:p w14:paraId="2E7F4F2E">
      <w:pPr>
        <w:spacing w:before="101" w:line="224" w:lineRule="auto"/>
        <w:ind w:left="677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</w:p>
    <w:p w14:paraId="4B8F5F5C">
      <w:pPr>
        <w:spacing w:before="101" w:line="224" w:lineRule="auto"/>
        <w:ind w:left="677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六、一般公共预算财政拨款基本支出决算情况说明</w:t>
      </w:r>
    </w:p>
    <w:p w14:paraId="5DC74B25">
      <w:pPr>
        <w:spacing w:before="247" w:line="357" w:lineRule="auto"/>
        <w:ind w:left="64" w:right="96" w:firstLine="607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>2023年度一般公共预算财政拨款基本支出</w:t>
      </w:r>
      <w:r>
        <w:rPr>
          <w:rFonts w:hint="eastAsia" w:ascii="Times New Roman" w:hAnsi="Times New Roman" w:eastAsia="仿宋_GB2312" w:cs="Times New Roman"/>
          <w:spacing w:val="33"/>
          <w:sz w:val="31"/>
          <w:szCs w:val="31"/>
          <w:lang w:val="en-US" w:eastAsia="zh-CN"/>
        </w:rPr>
        <w:t>1864.38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>万元，其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0"/>
          <w:sz w:val="31"/>
          <w:szCs w:val="31"/>
        </w:rPr>
        <w:t>中：</w:t>
      </w:r>
    </w:p>
    <w:p w14:paraId="746AF25E">
      <w:pPr>
        <w:spacing w:before="53" w:line="367" w:lineRule="auto"/>
        <w:ind w:left="29" w:right="98" w:firstLine="643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人员经费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1704.26</w:t>
      </w: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万元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，主要包括：基本工资、津贴补贴、奖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金、伙食补助费、绩效工资、机关事业单位基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本养老保险缴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费、职业年金缴费、职工基本医疗保险缴费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、公务员医疗补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助缴费、其他社会保障缴费、住房公积金、医疗费、</w:t>
      </w:r>
      <w:r>
        <w:rPr>
          <w:rFonts w:hint="default" w:ascii="Times New Roman" w:hAnsi="Times New Roman" w:eastAsia="仿宋_GB2312" w:cs="Times New Roman"/>
          <w:spacing w:val="-5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其他工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资福利支出、离休费、退休费、退职（役） 费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、抚恤金、生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活补助、救济费、医疗费补助、助学金、奖励金、个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人农业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生产补贴、代缴社会保险费和其他对个人和家庭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的补助。</w:t>
      </w:r>
    </w:p>
    <w:p w14:paraId="4C30D158">
      <w:pPr>
        <w:spacing w:before="52" w:line="222" w:lineRule="auto"/>
        <w:ind w:left="675"/>
        <w:rPr>
          <w:rFonts w:hint="default" w:ascii="Times New Roman" w:hAnsi="Times New Roman" w:eastAsia="仿宋_GB2312" w:cs="Times New Roman"/>
          <w:sz w:val="31"/>
          <w:szCs w:val="31"/>
        </w:rPr>
      </w:pPr>
    </w:p>
    <w:p w14:paraId="31F0329F">
      <w:pPr>
        <w:spacing w:before="254" w:line="367" w:lineRule="auto"/>
        <w:ind w:left="26" w:firstLine="6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-1"/>
          <w:sz w:val="31"/>
          <w:szCs w:val="31"/>
        </w:rPr>
        <w:t>公用经费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1</w:t>
      </w:r>
      <w:r>
        <w:rPr>
          <w:rFonts w:hint="eastAsia" w:ascii="Times New Roman" w:hAnsi="Times New Roman" w:eastAsia="仿宋_GB2312" w:cs="Times New Roman"/>
          <w:spacing w:val="-1"/>
          <w:sz w:val="31"/>
          <w:szCs w:val="31"/>
          <w:lang w:val="en-US" w:eastAsia="zh-CN"/>
        </w:rPr>
        <w:t>60.12</w:t>
      </w:r>
      <w:r>
        <w:rPr>
          <w:rFonts w:hint="default" w:ascii="Times New Roman" w:hAnsi="Times New Roman" w:eastAsia="仿宋_GB2312" w:cs="Times New Roman"/>
          <w:b/>
          <w:bCs/>
          <w:spacing w:val="-1"/>
          <w:sz w:val="31"/>
          <w:szCs w:val="31"/>
        </w:rPr>
        <w:t>万元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，主要包括：办公费、印刷费、咨询费、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手续费、水费、电费、邮电费、取暖费、物业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管理费、差旅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费、因公出国（境）费、维修（护）费、租赁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费、</w:t>
      </w:r>
      <w:r>
        <w:rPr>
          <w:rFonts w:hint="default" w:ascii="Times New Roman" w:hAnsi="Times New Roman" w:eastAsia="仿宋_GB2312" w:cs="Times New Roman"/>
          <w:spacing w:val="8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会议费、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培训费、公务接待费、专用材料费、被装购置费、专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用燃料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费、劳务费、委托业务费、工会经费、福利费、公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务用车运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行维护费、其他交通费用、税金及附加费用、其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他商品和服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务支出、房屋建筑物购建、办公设备购置、专用设备购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置、</w:t>
      </w:r>
    </w:p>
    <w:p w14:paraId="3ED4E3B6">
      <w:pPr>
        <w:spacing w:line="367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0" w:type="default"/>
          <w:pgSz w:w="11907" w:h="16839"/>
          <w:pgMar w:top="1431" w:right="1699" w:bottom="1153" w:left="1785" w:header="0" w:footer="965" w:gutter="0"/>
          <w:cols w:space="720" w:num="1"/>
        </w:sectPr>
      </w:pPr>
    </w:p>
    <w:p w14:paraId="13575BAF">
      <w:pPr>
        <w:spacing w:before="158" w:line="356" w:lineRule="auto"/>
        <w:ind w:left="39" w:right="161" w:hanging="1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基础设施建设、大型修缮、信息网络及软件购置更新、其他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资本性支出</w:t>
      </w:r>
    </w:p>
    <w:p w14:paraId="5B94F5AB">
      <w:pPr>
        <w:pStyle w:val="2"/>
        <w:spacing w:line="256" w:lineRule="auto"/>
        <w:rPr>
          <w:rFonts w:hint="default" w:ascii="Times New Roman" w:hAnsi="Times New Roman" w:eastAsia="仿宋_GB2312" w:cs="Times New Roman"/>
        </w:rPr>
      </w:pPr>
    </w:p>
    <w:p w14:paraId="2B8C5070">
      <w:pPr>
        <w:pStyle w:val="2"/>
        <w:spacing w:line="256" w:lineRule="auto"/>
        <w:rPr>
          <w:rFonts w:hint="default" w:ascii="Times New Roman" w:hAnsi="Times New Roman" w:eastAsia="仿宋_GB2312" w:cs="Times New Roman"/>
        </w:rPr>
      </w:pPr>
    </w:p>
    <w:p w14:paraId="07EFC623">
      <w:pPr>
        <w:pStyle w:val="2"/>
        <w:spacing w:line="256" w:lineRule="auto"/>
        <w:rPr>
          <w:rFonts w:hint="default" w:ascii="Times New Roman" w:hAnsi="Times New Roman" w:eastAsia="仿宋_GB2312" w:cs="Times New Roman"/>
        </w:rPr>
      </w:pPr>
    </w:p>
    <w:p w14:paraId="6D180E10">
      <w:pPr>
        <w:spacing w:before="101" w:line="224" w:lineRule="auto"/>
        <w:ind w:left="50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七、政府性基金预算财政拨款收入支出决算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情况说明</w:t>
      </w:r>
    </w:p>
    <w:p w14:paraId="7EA54E3F">
      <w:pPr>
        <w:spacing w:before="246" w:line="366" w:lineRule="auto"/>
        <w:ind w:left="38" w:firstLine="47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33"/>
          <w:sz w:val="31"/>
          <w:szCs w:val="31"/>
        </w:rPr>
        <w:t>2023 年度政府性基金预算财政拨款年初结转和结余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万元；本年收入 万元，比上年增加（减少）万元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，增长（</w:t>
      </w:r>
      <w:r>
        <w:rPr>
          <w:rFonts w:hint="default" w:ascii="Times New Roman" w:hAnsi="Times New Roman" w:eastAsia="仿宋_GB2312" w:cs="Times New Roman"/>
          <w:spacing w:val="-8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下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降） %，主要是</w:t>
      </w:r>
      <w:r>
        <w:rPr>
          <w:rFonts w:hint="default" w:ascii="Times New Roman" w:hAnsi="Times New Roman" w:eastAsia="仿宋_GB2312" w:cs="Times New Roman"/>
          <w:spacing w:val="-9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……；本年支出 万元，</w:t>
      </w:r>
      <w:r>
        <w:rPr>
          <w:rFonts w:hint="default" w:ascii="Times New Roman" w:hAnsi="Times New Roman" w:eastAsia="仿宋_GB2312" w:cs="Times New Roman"/>
          <w:spacing w:val="-7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比上年增加（减少）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万元，增长（</w:t>
      </w:r>
      <w:r>
        <w:rPr>
          <w:rFonts w:hint="default" w:ascii="Times New Roman" w:hAnsi="Times New Roman" w:eastAsia="仿宋_GB2312" w:cs="Times New Roman"/>
          <w:spacing w:val="-7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下降）</w:t>
      </w:r>
      <w:r>
        <w:rPr>
          <w:rFonts w:hint="default" w:ascii="Times New Roman" w:hAnsi="Times New Roman" w:eastAsia="仿宋_GB2312" w:cs="Times New Roman"/>
          <w:spacing w:val="5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%，主要是</w:t>
      </w:r>
      <w:r>
        <w:rPr>
          <w:rFonts w:hint="default" w:ascii="Times New Roman" w:hAnsi="Times New Roman" w:eastAsia="仿宋_GB2312" w:cs="Times New Roman"/>
          <w:spacing w:val="-9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……</w:t>
      </w:r>
      <w:r>
        <w:rPr>
          <w:rFonts w:hint="default" w:ascii="Times New Roman" w:hAnsi="Times New Roman" w:eastAsia="仿宋_GB2312" w:cs="Times New Roman"/>
          <w:spacing w:val="-1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；年末结转和结余</w:t>
      </w:r>
      <w:r>
        <w:rPr>
          <w:rFonts w:hint="default" w:ascii="Times New Roman" w:hAnsi="Times New Roman" w:eastAsia="仿宋_GB2312" w:cs="Times New Roman"/>
          <w:spacing w:val="4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元。支出具体情况如下：</w:t>
      </w:r>
    </w:p>
    <w:p w14:paraId="52005B0F">
      <w:pPr>
        <w:spacing w:before="50" w:line="322" w:lineRule="auto"/>
        <w:ind w:left="34" w:right="158" w:firstLine="65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1.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7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（项）。政府性基金财政拨款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%,决算数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大（小）于预算数的主要原因是</w:t>
      </w:r>
      <w:r>
        <w:rPr>
          <w:rFonts w:hint="default" w:ascii="Times New Roman" w:hAnsi="Times New Roman" w:eastAsia="仿宋_GB2312" w:cs="Times New Roman"/>
          <w:spacing w:val="-9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…。</w:t>
      </w:r>
    </w:p>
    <w:p w14:paraId="12D4F1E9">
      <w:pPr>
        <w:spacing w:before="250" w:line="322" w:lineRule="auto"/>
        <w:ind w:left="34" w:right="159" w:firstLine="63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2.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8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（项）。政府性基金财政拨款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%,决算数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大（小）于预算数的主要原因是</w:t>
      </w:r>
      <w:r>
        <w:rPr>
          <w:rFonts w:hint="default" w:ascii="Times New Roman" w:hAnsi="Times New Roman" w:eastAsia="仿宋_GB2312" w:cs="Times New Roman"/>
          <w:spacing w:val="-9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…。</w:t>
      </w:r>
    </w:p>
    <w:p w14:paraId="7CE5C5F4">
      <w:pPr>
        <w:spacing w:before="250" w:line="322" w:lineRule="auto"/>
        <w:ind w:left="34" w:right="158" w:firstLine="63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3.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（项）。政府性基金财政拨款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支出为  万元，主要用于……。完成年初预算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的  %,决算数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大（小）于预算数的主要原因是</w:t>
      </w:r>
      <w:r>
        <w:rPr>
          <w:rFonts w:hint="default" w:ascii="Times New Roman" w:hAnsi="Times New Roman" w:eastAsia="仿宋_GB2312" w:cs="Times New Roman"/>
          <w:spacing w:val="-9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…。</w:t>
      </w:r>
    </w:p>
    <w:p w14:paraId="0F1B8D84">
      <w:pPr>
        <w:spacing w:before="304" w:line="185" w:lineRule="auto"/>
        <w:ind w:left="66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4.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……</w:t>
      </w:r>
    </w:p>
    <w:p w14:paraId="1C87446A">
      <w:pPr>
        <w:spacing w:before="260" w:line="223" w:lineRule="auto"/>
        <w:ind w:left="675"/>
        <w:rPr>
          <w:rFonts w:hint="default" w:ascii="Times New Roman" w:hAnsi="Times New Roman" w:eastAsia="仿宋_GB2312" w:cs="Times New Roman"/>
          <w:sz w:val="31"/>
          <w:szCs w:val="31"/>
        </w:rPr>
      </w:pPr>
    </w:p>
    <w:p w14:paraId="7508D58F">
      <w:pPr>
        <w:spacing w:line="223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1" w:type="default"/>
          <w:pgSz w:w="11907" w:h="16839"/>
          <w:pgMar w:top="1431" w:right="1641" w:bottom="1153" w:left="1785" w:header="0" w:footer="965" w:gutter="0"/>
          <w:cols w:space="720" w:num="1"/>
        </w:sectPr>
      </w:pPr>
    </w:p>
    <w:p w14:paraId="1BA4AE4F">
      <w:pPr>
        <w:spacing w:before="158" w:line="224" w:lineRule="auto"/>
        <w:ind w:left="74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八、国有资本经营预算财政拨款支出决算情况说明</w:t>
      </w:r>
    </w:p>
    <w:p w14:paraId="1548247E">
      <w:pPr>
        <w:spacing w:before="248" w:line="220" w:lineRule="auto"/>
        <w:ind w:left="67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2023 年度国有资本经营预算年初结转和结余   万元；</w:t>
      </w:r>
    </w:p>
    <w:p w14:paraId="6713AF0F">
      <w:pPr>
        <w:spacing w:before="255" w:line="364" w:lineRule="auto"/>
        <w:ind w:left="23" w:firstLine="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 xml:space="preserve">本年收入 万元，比上年增加（减少）万元，增长（下降） </w:t>
      </w:r>
      <w:r>
        <w:rPr>
          <w:rFonts w:hint="default" w:ascii="Times New Roman" w:hAnsi="Times New Roman" w:eastAsia="仿宋_GB2312" w:cs="Times New Roman"/>
          <w:spacing w:val="-6"/>
          <w:sz w:val="31"/>
          <w:szCs w:val="31"/>
        </w:rPr>
        <w:t>%，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主要是</w:t>
      </w:r>
      <w:r>
        <w:rPr>
          <w:rFonts w:hint="default" w:ascii="Times New Roman" w:hAnsi="Times New Roman" w:eastAsia="仿宋_GB2312" w:cs="Times New Roman"/>
          <w:spacing w:val="-9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……</w:t>
      </w:r>
      <w:r>
        <w:rPr>
          <w:rFonts w:hint="default" w:ascii="Times New Roman" w:hAnsi="Times New Roman" w:eastAsia="仿宋_GB2312" w:cs="Times New Roman"/>
          <w:spacing w:val="-1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；本年支出</w:t>
      </w:r>
      <w:r>
        <w:rPr>
          <w:rFonts w:hint="default" w:ascii="Times New Roman" w:hAnsi="Times New Roman" w:eastAsia="仿宋_GB2312" w:cs="Times New Roman"/>
          <w:spacing w:val="4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7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比上年增加（减少）</w:t>
      </w:r>
      <w:r>
        <w:rPr>
          <w:rFonts w:hint="default" w:ascii="Times New Roman" w:hAnsi="Times New Roman" w:eastAsia="仿宋_GB2312" w:cs="Times New Roman"/>
          <w:spacing w:val="-9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增长（</w:t>
      </w:r>
      <w:r>
        <w:rPr>
          <w:rFonts w:hint="default" w:ascii="Times New Roman" w:hAnsi="Times New Roman" w:eastAsia="仿宋_GB2312" w:cs="Times New Roman"/>
          <w:spacing w:val="-7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下降）</w:t>
      </w:r>
      <w:r>
        <w:rPr>
          <w:rFonts w:hint="default" w:ascii="Times New Roman" w:hAnsi="Times New Roman" w:eastAsia="仿宋_GB2312" w:cs="Times New Roman"/>
          <w:spacing w:val="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%，主要是</w:t>
      </w:r>
      <w:r>
        <w:rPr>
          <w:rFonts w:hint="default" w:ascii="Times New Roman" w:hAnsi="Times New Roman" w:eastAsia="仿宋_GB2312" w:cs="Times New Roman"/>
          <w:spacing w:val="-9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……</w:t>
      </w:r>
      <w:r>
        <w:rPr>
          <w:rFonts w:hint="default" w:ascii="Times New Roman" w:hAnsi="Times New Roman" w:eastAsia="仿宋_GB2312" w:cs="Times New Roman"/>
          <w:spacing w:val="-1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；年末结转和结余</w:t>
      </w:r>
      <w:r>
        <w:rPr>
          <w:rFonts w:hint="default" w:ascii="Times New Roman" w:hAnsi="Times New Roman" w:eastAsia="仿宋_GB2312" w:cs="Times New Roman"/>
          <w:spacing w:val="4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万元。支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出具体情况如下：</w:t>
      </w:r>
    </w:p>
    <w:p w14:paraId="57A3F825">
      <w:pPr>
        <w:spacing w:before="51" w:line="322" w:lineRule="auto"/>
        <w:ind w:left="33" w:right="84" w:firstLine="657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1.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7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（项）。国有资本经营预算财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政拨款支出为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决算数大（小）于预算数的主要原因是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…。</w:t>
      </w:r>
    </w:p>
    <w:p w14:paraId="0047E01E">
      <w:pPr>
        <w:spacing w:before="249" w:line="322" w:lineRule="auto"/>
        <w:ind w:left="33" w:right="84" w:firstLine="63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2.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8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（项）。国有资本经营预算财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政拨款支出为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决算数大（小）于预算数的主要原因是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…。</w:t>
      </w:r>
    </w:p>
    <w:p w14:paraId="6081B57B">
      <w:pPr>
        <w:spacing w:before="251" w:line="322" w:lineRule="auto"/>
        <w:ind w:left="33" w:right="84" w:firstLine="6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3.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（项）。国有资本经营预算财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政拨款支出为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决算数大（小）于预算数的主要原因是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…。</w:t>
      </w:r>
    </w:p>
    <w:p w14:paraId="4E524156">
      <w:pPr>
        <w:spacing w:before="303" w:line="185" w:lineRule="auto"/>
        <w:ind w:left="66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4.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……</w:t>
      </w:r>
    </w:p>
    <w:p w14:paraId="28EB140D">
      <w:pPr>
        <w:pStyle w:val="2"/>
        <w:spacing w:line="256" w:lineRule="auto"/>
        <w:rPr>
          <w:rFonts w:hint="default" w:ascii="Times New Roman" w:hAnsi="Times New Roman" w:eastAsia="仿宋_GB2312" w:cs="Times New Roman"/>
        </w:rPr>
      </w:pPr>
    </w:p>
    <w:p w14:paraId="619F8EAD">
      <w:pPr>
        <w:spacing w:before="101" w:line="224" w:lineRule="auto"/>
        <w:ind w:left="67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九、财政拨款“三公”经费支出决算情况说明</w:t>
      </w:r>
    </w:p>
    <w:p w14:paraId="37ADCB81">
      <w:pPr>
        <w:spacing w:before="248" w:line="224" w:lineRule="auto"/>
        <w:ind w:left="675"/>
        <w:rPr>
          <w:rFonts w:hint="default" w:ascii="Times New Roman" w:hAnsi="Times New Roman" w:eastAsia="仿宋_GB2312" w:cs="Times New Roman"/>
          <w:sz w:val="31"/>
          <w:szCs w:val="31"/>
        </w:rPr>
      </w:pPr>
    </w:p>
    <w:p w14:paraId="3685E036">
      <w:pPr>
        <w:spacing w:before="249" w:line="223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（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一）“三公”经费财政拨款支出决算总体情况说明</w:t>
      </w:r>
    </w:p>
    <w:p w14:paraId="46C86ABC">
      <w:pPr>
        <w:spacing w:before="249" w:line="223" w:lineRule="auto"/>
        <w:ind w:left="67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4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年度“三公”经费财政拨款支出预算为  万元，支</w:t>
      </w:r>
    </w:p>
    <w:p w14:paraId="6808584F">
      <w:pPr>
        <w:spacing w:line="223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2" w:type="default"/>
          <w:pgSz w:w="11907" w:h="16839"/>
          <w:pgMar w:top="1431" w:right="1714" w:bottom="1153" w:left="1785" w:header="0" w:footer="965" w:gutter="0"/>
          <w:cols w:space="720" w:num="1"/>
        </w:sectPr>
      </w:pPr>
    </w:p>
    <w:p w14:paraId="3FAD1108">
      <w:pPr>
        <w:spacing w:before="156" w:line="362" w:lineRule="auto"/>
        <w:ind w:left="41" w:firstLine="26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出决算为  万元，完成预算的  %；较</w:t>
      </w:r>
      <w:r>
        <w:rPr>
          <w:rFonts w:hint="default" w:ascii="Times New Roman" w:hAnsi="Times New Roman" w:eastAsia="仿宋_GB2312" w:cs="Times New Roman"/>
          <w:spacing w:val="-2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年度增加（减少）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万元，增长（下降） %，主要原因是</w:t>
      </w:r>
      <w:r>
        <w:rPr>
          <w:rFonts w:hint="default" w:ascii="Times New Roman" w:hAnsi="Times New Roman" w:eastAsia="仿宋_GB2312" w:cs="Times New Roman"/>
          <w:spacing w:val="-9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…。决算数大（小）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于预算数的主要原因</w:t>
      </w:r>
      <w:r>
        <w:rPr>
          <w:rFonts w:hint="default" w:ascii="Times New Roman" w:hAnsi="Times New Roman" w:eastAsia="仿宋_GB2312" w:cs="Times New Roman"/>
          <w:spacing w:val="-9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…。</w:t>
      </w:r>
    </w:p>
    <w:p w14:paraId="5D605321">
      <w:pPr>
        <w:spacing w:before="50" w:line="223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（二）“三公”经费财政拨款支出决算具体情况说明</w:t>
      </w:r>
    </w:p>
    <w:p w14:paraId="7C03B828">
      <w:pPr>
        <w:spacing w:before="248" w:line="366" w:lineRule="auto"/>
        <w:ind w:left="23" w:right="74" w:firstLine="66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1.因公出国（境）费预算为  万元,支出决算为</w:t>
      </w:r>
      <w:r>
        <w:rPr>
          <w:rFonts w:hint="default" w:ascii="Times New Roman" w:hAnsi="Times New Roman" w:eastAsia="仿宋_GB2312" w:cs="Times New Roman"/>
          <w:spacing w:val="20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完成预算的   %；支出决算较</w:t>
      </w:r>
      <w:r>
        <w:rPr>
          <w:rFonts w:hint="default" w:ascii="Times New Roman" w:hAnsi="Times New Roman" w:eastAsia="仿宋_GB2312" w:cs="Times New Roman"/>
          <w:spacing w:val="-5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5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年度增加（减少）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万元，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增长（下降）</w:t>
      </w:r>
      <w:r>
        <w:rPr>
          <w:rFonts w:hint="default" w:ascii="Times New Roman" w:hAnsi="Times New Roman" w:eastAsia="仿宋_GB2312" w:cs="Times New Roman"/>
          <w:spacing w:val="7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%，主要原因……。决算数大（小）于预算数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的主要原因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……。全年共有因公出国（境）</w:t>
      </w:r>
      <w:r>
        <w:rPr>
          <w:rFonts w:hint="default" w:ascii="Times New Roman" w:hAnsi="Times New Roman" w:eastAsia="仿宋_GB2312" w:cs="Times New Roman"/>
          <w:spacing w:val="-8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团组  个，</w:t>
      </w:r>
      <w:r>
        <w:rPr>
          <w:rFonts w:hint="default" w:ascii="Times New Roman" w:hAnsi="Times New Roman" w:eastAsia="仿宋_GB2312" w:cs="Times New Roman"/>
          <w:spacing w:val="-9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因公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出国（境）  人次。主要包括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…。</w:t>
      </w:r>
    </w:p>
    <w:p w14:paraId="78D9C6B0">
      <w:pPr>
        <w:spacing w:before="57" w:line="364" w:lineRule="auto"/>
        <w:ind w:left="23" w:right="156" w:firstLine="64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21"/>
          <w:sz w:val="31"/>
          <w:szCs w:val="31"/>
        </w:rPr>
        <w:t>2.公务用车购置及运行费预算为  万元</w:t>
      </w:r>
      <w:r>
        <w:rPr>
          <w:rFonts w:hint="default" w:ascii="Times New Roman" w:hAnsi="Times New Roman" w:eastAsia="仿宋_GB2312" w:cs="Times New Roman"/>
          <w:spacing w:val="20"/>
          <w:sz w:val="31"/>
          <w:szCs w:val="31"/>
        </w:rPr>
        <w:t>，支出决算为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万元，完成预算的   %；较</w:t>
      </w:r>
      <w:r>
        <w:rPr>
          <w:rFonts w:hint="default" w:ascii="Times New Roman" w:hAnsi="Times New Roman" w:eastAsia="仿宋_GB2312" w:cs="Times New Roman"/>
          <w:spacing w:val="-5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6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年度增加（减少）</w:t>
      </w:r>
      <w:r>
        <w:rPr>
          <w:rFonts w:hint="default" w:ascii="Times New Roman" w:hAnsi="Times New Roman" w:eastAsia="仿宋_GB2312" w:cs="Times New Roman"/>
          <w:spacing w:val="7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增长（下降）</w:t>
      </w:r>
      <w:r>
        <w:rPr>
          <w:rFonts w:hint="default" w:ascii="Times New Roman" w:hAnsi="Times New Roman" w:eastAsia="仿宋_GB2312" w:cs="Times New Roman"/>
          <w:spacing w:val="7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%，主要原因……。决算数大（小）于预算数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的主要原因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…。其中：</w:t>
      </w:r>
    </w:p>
    <w:p w14:paraId="41E1CCC2">
      <w:pPr>
        <w:spacing w:before="49" w:line="221" w:lineRule="auto"/>
        <w:ind w:left="66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公务用车购置费支出   万元。主要是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…；截至 2023</w:t>
      </w:r>
    </w:p>
    <w:p w14:paraId="4F13BD0A">
      <w:pPr>
        <w:spacing w:before="253" w:line="221" w:lineRule="auto"/>
        <w:ind w:left="3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年 12 月 31 日，公务用车保有量为    辆,公务用车购置数</w:t>
      </w:r>
    </w:p>
    <w:p w14:paraId="2025E59C">
      <w:pPr>
        <w:spacing w:before="253" w:line="223" w:lineRule="auto"/>
        <w:ind w:left="3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为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   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辆。</w:t>
      </w:r>
    </w:p>
    <w:p w14:paraId="0C7EF10C">
      <w:pPr>
        <w:spacing w:before="54" w:line="221" w:lineRule="auto"/>
        <w:ind w:left="66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公务用车运行维护费支出   万元，主要是</w:t>
      </w:r>
      <w:r>
        <w:rPr>
          <w:rFonts w:hint="default" w:ascii="Times New Roman" w:hAnsi="Times New Roman" w:eastAsia="仿宋_GB2312" w:cs="Times New Roman"/>
          <w:spacing w:val="-8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…。</w:t>
      </w:r>
    </w:p>
    <w:p w14:paraId="094806E7">
      <w:pPr>
        <w:spacing w:line="221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3" w:type="default"/>
          <w:pgSz w:w="11907" w:h="16839"/>
          <w:pgMar w:top="1431" w:right="1642" w:bottom="1153" w:left="1785" w:header="0" w:footer="965" w:gutter="0"/>
          <w:cols w:space="720" w:num="1"/>
        </w:sectPr>
      </w:pPr>
    </w:p>
    <w:p w14:paraId="3FD26591">
      <w:pPr>
        <w:spacing w:before="160" w:line="364" w:lineRule="auto"/>
        <w:ind w:left="21" w:right="3" w:firstLine="644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公务接待费预算为  万元，支出决算为</w:t>
      </w:r>
      <w:r>
        <w:rPr>
          <w:rFonts w:hint="default" w:ascii="Times New Roman" w:hAnsi="Times New Roman" w:eastAsia="仿宋_GB2312" w:cs="Times New Roman"/>
          <w:spacing w:val="21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万元，完成预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7"/>
          <w:sz w:val="31"/>
          <w:szCs w:val="31"/>
        </w:rPr>
        <w:t>算的   %；较</w:t>
      </w:r>
      <w:r>
        <w:rPr>
          <w:rFonts w:hint="default" w:ascii="Times New Roman" w:hAnsi="Times New Roman" w:eastAsia="仿宋_GB2312" w:cs="Times New Roman"/>
          <w:spacing w:val="-5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7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5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7"/>
          <w:sz w:val="31"/>
          <w:szCs w:val="31"/>
        </w:rPr>
        <w:t>年度增加（减少）   万元，增长（下降）</w:t>
      </w:r>
      <w:r>
        <w:rPr>
          <w:rFonts w:hint="default" w:ascii="Times New Roman" w:hAnsi="Times New Roman" w:eastAsia="仿宋_GB2312" w:cs="Times New Roman"/>
          <w:spacing w:val="-7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7"/>
          <w:sz w:val="31"/>
          <w:szCs w:val="31"/>
        </w:rPr>
        <w:t>%，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5"/>
          <w:sz w:val="31"/>
          <w:szCs w:val="31"/>
        </w:rPr>
        <w:t>主要原因是</w:t>
      </w:r>
      <w:r>
        <w:rPr>
          <w:rFonts w:hint="default" w:ascii="Times New Roman" w:hAnsi="Times New Roman" w:eastAsia="仿宋_GB2312" w:cs="Times New Roman"/>
          <w:spacing w:val="-6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5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7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5"/>
          <w:sz w:val="31"/>
          <w:szCs w:val="31"/>
        </w:rPr>
        <w:t>…。决算数大（小）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5"/>
          <w:sz w:val="31"/>
          <w:szCs w:val="31"/>
        </w:rPr>
        <w:t>于预算数的主要原因</w:t>
      </w:r>
      <w:r>
        <w:rPr>
          <w:rFonts w:hint="default" w:ascii="Times New Roman" w:hAnsi="Times New Roman" w:eastAsia="仿宋_GB2312" w:cs="Times New Roman"/>
          <w:spacing w:val="-20"/>
          <w:sz w:val="31"/>
          <w:szCs w:val="31"/>
        </w:rPr>
        <w:t>是</w:t>
      </w:r>
      <w:r>
        <w:rPr>
          <w:rFonts w:hint="default" w:ascii="Times New Roman" w:hAnsi="Times New Roman" w:eastAsia="仿宋_GB2312" w:cs="Times New Roman"/>
          <w:spacing w:val="-9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20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20"/>
          <w:sz w:val="31"/>
          <w:szCs w:val="31"/>
        </w:rPr>
        <w:t>…。其中：</w:t>
      </w:r>
    </w:p>
    <w:p w14:paraId="2F0BF4B3">
      <w:pPr>
        <w:spacing w:before="52" w:line="361" w:lineRule="auto"/>
        <w:ind w:left="33" w:firstLine="649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外事接待费支出  万元。主要用于……。全年共接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待外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事来访团组数  个、来访外宾   人次（不包括陪同人员）。</w:t>
      </w:r>
      <w:r>
        <w:rPr>
          <w:rFonts w:hint="default" w:ascii="Times New Roman" w:hAnsi="Times New Roman" w:eastAsia="仿宋_GB2312" w:cs="Times New Roman"/>
          <w:spacing w:val="1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来访外宾主要包括</w:t>
      </w:r>
      <w:r>
        <w:rPr>
          <w:rFonts w:hint="default" w:ascii="Times New Roman" w:hAnsi="Times New Roman" w:eastAsia="仿宋_GB2312" w:cs="Times New Roman"/>
          <w:spacing w:val="-9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…。</w:t>
      </w:r>
    </w:p>
    <w:p w14:paraId="478018EB">
      <w:pPr>
        <w:spacing w:before="53" w:line="362" w:lineRule="auto"/>
        <w:ind w:left="26" w:right="90" w:firstLine="640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其他国内公务接待支出  万元。主要用于……。全年共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2"/>
          <w:sz w:val="31"/>
          <w:szCs w:val="31"/>
        </w:rPr>
        <w:t>接待国内来访团组</w:t>
      </w:r>
      <w:r>
        <w:rPr>
          <w:rFonts w:hint="default" w:ascii="Times New Roman" w:hAnsi="Times New Roman" w:eastAsia="仿宋_GB2312" w:cs="Times New Roman"/>
          <w:spacing w:val="3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2"/>
          <w:sz w:val="31"/>
          <w:szCs w:val="31"/>
        </w:rPr>
        <w:t>个、来宾</w:t>
      </w:r>
      <w:r>
        <w:rPr>
          <w:rFonts w:hint="default" w:ascii="Times New Roman" w:hAnsi="Times New Roman" w:eastAsia="仿宋_GB2312" w:cs="Times New Roman"/>
          <w:spacing w:val="3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2"/>
          <w:sz w:val="31"/>
          <w:szCs w:val="31"/>
        </w:rPr>
        <w:t>人次（不包括陪同人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员） 。</w:t>
      </w:r>
    </w:p>
    <w:p w14:paraId="76C572C8">
      <w:pPr>
        <w:pStyle w:val="2"/>
        <w:spacing w:line="287" w:lineRule="auto"/>
        <w:rPr>
          <w:rFonts w:hint="default" w:ascii="Times New Roman" w:hAnsi="Times New Roman" w:eastAsia="仿宋_GB2312" w:cs="Times New Roman"/>
        </w:rPr>
      </w:pPr>
    </w:p>
    <w:p w14:paraId="27631EA0">
      <w:pPr>
        <w:spacing w:before="101" w:line="224" w:lineRule="auto"/>
        <w:ind w:left="750"/>
        <w:outlineLvl w:val="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十、关于</w:t>
      </w:r>
      <w:r>
        <w:rPr>
          <w:rFonts w:hint="default" w:ascii="Times New Roman" w:hAnsi="Times New Roman" w:eastAsia="仿宋_GB2312" w:cs="Times New Roman"/>
          <w:spacing w:val="-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年度绩效评价情况说明</w:t>
      </w:r>
    </w:p>
    <w:p w14:paraId="4F86DFD3">
      <w:pPr>
        <w:spacing w:before="249" w:line="353" w:lineRule="auto"/>
        <w:ind w:left="23" w:right="3" w:firstLine="63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（</w:t>
      </w:r>
      <w:r>
        <w:rPr>
          <w:rFonts w:hint="default" w:ascii="Times New Roman" w:hAnsi="Times New Roman" w:eastAsia="仿宋_GB2312" w:cs="Times New Roman"/>
          <w:spacing w:val="-5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一）绩效评价工作开展情况。绩效评价工作开展情况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说明为：根据预算绩效管理要求，本部门组织对 2023 年度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一般公共预算项目支出全面开展绩效自评，其中，一级项目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XX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个，二级项目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个，共涉及资金</w:t>
      </w:r>
      <w:r>
        <w:rPr>
          <w:rFonts w:hint="default" w:ascii="Times New Roman" w:hAnsi="Times New Roman" w:eastAsia="仿宋_GB2312" w:cs="Times New Roman"/>
          <w:spacing w:val="-2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万元，</w:t>
      </w:r>
      <w:r>
        <w:rPr>
          <w:rFonts w:hint="default" w:ascii="Times New Roman" w:hAnsi="Times New Roman" w:eastAsia="仿宋_GB2312" w:cs="Times New Roman"/>
          <w:spacing w:val="-7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占一般公共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预算项目支出总额的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%。组织对</w:t>
      </w:r>
      <w:r>
        <w:rPr>
          <w:rFonts w:hint="default" w:ascii="Times New Roman" w:hAnsi="Times New Roman" w:eastAsia="仿宋_GB2312" w:cs="Times New Roman"/>
          <w:spacing w:val="-5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年度</w:t>
      </w:r>
      <w:r>
        <w:rPr>
          <w:rFonts w:hint="default" w:ascii="Times New Roman" w:hAnsi="Times New Roman" w:eastAsia="仿宋_GB2312" w:cs="Times New Roman"/>
          <w:spacing w:val="-6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、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-4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等</w:t>
      </w:r>
      <w:r>
        <w:rPr>
          <w:rFonts w:hint="default" w:ascii="Times New Roman" w:hAnsi="Times New Roman" w:eastAsia="仿宋_GB2312" w:cs="Times New Roman"/>
          <w:spacing w:val="-6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XX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个政府性基金预算项目开展绩效自评，共涉及资金</w:t>
      </w:r>
      <w:r>
        <w:rPr>
          <w:rFonts w:hint="default" w:ascii="Times New Roman" w:hAnsi="Times New Roman" w:eastAsia="仿宋_GB2312" w:cs="Times New Roman"/>
          <w:spacing w:val="-4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占政府性基金预算项目支出总额的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%。组织对 2023 年度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、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-2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等</w:t>
      </w:r>
      <w:r>
        <w:rPr>
          <w:rFonts w:hint="default" w:ascii="Times New Roman" w:hAnsi="Times New Roman" w:eastAsia="仿宋_GB2312" w:cs="Times New Roman"/>
          <w:spacing w:val="-4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个国有资本经营预算项目开展绩效自评，共</w:t>
      </w:r>
    </w:p>
    <w:p w14:paraId="7CBB8B8A">
      <w:pPr>
        <w:spacing w:line="353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4" w:type="default"/>
          <w:pgSz w:w="11907" w:h="16839"/>
          <w:pgMar w:top="1431" w:right="1710" w:bottom="1153" w:left="1785" w:header="0" w:footer="965" w:gutter="0"/>
          <w:cols w:space="720" w:num="1"/>
        </w:sectPr>
      </w:pPr>
    </w:p>
    <w:p w14:paraId="72A4D62F">
      <w:pPr>
        <w:spacing w:before="159" w:line="223" w:lineRule="auto"/>
        <w:jc w:val="right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涉及资金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7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万元，占国有资本经营预算项目支出总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额的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%。</w:t>
      </w:r>
    </w:p>
    <w:p w14:paraId="4AA7036F">
      <w:pPr>
        <w:spacing w:before="252" w:line="364" w:lineRule="auto"/>
        <w:ind w:left="23" w:right="102" w:firstLine="648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组织对“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”“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”等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 个项目开展了部门绩效评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价，涉及一般公共预算支出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 万元，政府性基金预算支出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4"/>
          <w:sz w:val="31"/>
          <w:szCs w:val="31"/>
        </w:rPr>
        <w:t xml:space="preserve"> 万元，国有资本经营预算支出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5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4"/>
          <w:sz w:val="31"/>
          <w:szCs w:val="31"/>
        </w:rPr>
        <w:t>万元。从评价情况来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看，</w:t>
      </w:r>
      <w:r>
        <w:rPr>
          <w:rFonts w:hint="default" w:ascii="Times New Roman" w:hAnsi="Times New Roman" w:eastAsia="仿宋_GB2312" w:cs="Times New Roman"/>
          <w:spacing w:val="-9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……</w:t>
      </w:r>
    </w:p>
    <w:p w14:paraId="0BFC0DDB">
      <w:pPr>
        <w:spacing w:before="250" w:line="362" w:lineRule="auto"/>
        <w:ind w:left="33" w:right="106" w:firstLine="638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组织对本部门开展整体支出绩效评价，涉及一般公共预</w:t>
      </w:r>
      <w:r>
        <w:rPr>
          <w:rFonts w:hint="default" w:ascii="Times New Roman" w:hAnsi="Times New Roman" w:eastAsia="仿宋_GB2312" w:cs="Times New Roman"/>
          <w:spacing w:val="1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算支出</w:t>
      </w:r>
      <w:r>
        <w:rPr>
          <w:rFonts w:hint="default" w:ascii="Times New Roman" w:hAnsi="Times New Roman" w:eastAsia="仿宋_GB2312" w:cs="Times New Roman"/>
          <w:spacing w:val="-6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万元，政府性基金预算支出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万元。从评价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情况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1"/>
          <w:sz w:val="31"/>
          <w:szCs w:val="31"/>
        </w:rPr>
        <w:t>来看，</w:t>
      </w:r>
      <w:r>
        <w:rPr>
          <w:rFonts w:hint="default" w:ascii="Times New Roman" w:hAnsi="Times New Roman" w:eastAsia="仿宋_GB2312" w:cs="Times New Roman"/>
          <w:spacing w:val="-8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1"/>
          <w:sz w:val="31"/>
          <w:szCs w:val="31"/>
        </w:rPr>
        <w:t>…</w:t>
      </w:r>
    </w:p>
    <w:p w14:paraId="382B7990">
      <w:pPr>
        <w:spacing w:before="51" w:line="221" w:lineRule="auto"/>
        <w:ind w:left="67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color w:val="FF0000"/>
          <w:spacing w:val="8"/>
          <w:sz w:val="31"/>
          <w:szCs w:val="31"/>
        </w:rPr>
        <w:t>。</w:t>
      </w:r>
    </w:p>
    <w:p w14:paraId="43AED580">
      <w:pPr>
        <w:spacing w:before="253" w:line="356" w:lineRule="auto"/>
        <w:ind w:left="36" w:right="22" w:firstLine="62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（二）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项目绩效自评结果（如有）。除涉密敏感内容外，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省级部门原则上应予以公开。按照如下格式说明</w:t>
      </w:r>
      <w:r>
        <w:rPr>
          <w:rFonts w:hint="default" w:ascii="Times New Roman" w:hAnsi="Times New Roman" w:eastAsia="仿宋_GB2312" w:cs="Times New Roman"/>
          <w:spacing w:val="-8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:</w:t>
      </w:r>
    </w:p>
    <w:p w14:paraId="71A080FA">
      <w:pPr>
        <w:spacing w:before="49" w:line="366" w:lineRule="auto"/>
        <w:ind w:left="21" w:right="107" w:firstLine="6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项目绩效自评情况：根据年初设定的绩效目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标，项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目绩效自评得分为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分。项目全年预算数为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万元，执行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数为</w:t>
      </w:r>
      <w:r>
        <w:rPr>
          <w:rFonts w:hint="default" w:ascii="Times New Roman" w:hAnsi="Times New Roman" w:eastAsia="仿宋_GB2312" w:cs="Times New Roman"/>
          <w:spacing w:val="-6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万元，完成预算的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%。项目绩效目标完成情况：一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是……；二是</w:t>
      </w:r>
      <w:r>
        <w:rPr>
          <w:rFonts w:hint="default" w:ascii="Times New Roman" w:hAnsi="Times New Roman" w:eastAsia="仿宋_GB2312" w:cs="Times New Roman"/>
          <w:spacing w:val="-8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2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。发现的主要问题及原因：一是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…；二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是……。下一步改进措施：一是……；二是</w:t>
      </w:r>
      <w:r>
        <w:rPr>
          <w:rFonts w:hint="default" w:ascii="Times New Roman" w:hAnsi="Times New Roman" w:eastAsia="仿宋_GB2312" w:cs="Times New Roman"/>
          <w:spacing w:val="-9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…。</w:t>
      </w:r>
    </w:p>
    <w:p w14:paraId="08EE0646">
      <w:pPr>
        <w:spacing w:before="49" w:line="224" w:lineRule="auto"/>
        <w:ind w:left="66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-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项目绩效自评情况：</w:t>
      </w:r>
      <w:r>
        <w:rPr>
          <w:rFonts w:hint="default" w:ascii="Times New Roman" w:hAnsi="Times New Roman" w:eastAsia="仿宋_GB2312" w:cs="Times New Roman"/>
          <w:spacing w:val="-7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…。</w:t>
      </w:r>
    </w:p>
    <w:p w14:paraId="1CBB39DD">
      <w:pPr>
        <w:spacing w:before="250" w:line="364" w:lineRule="auto"/>
        <w:ind w:left="34" w:firstLine="62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（三）</w:t>
      </w:r>
      <w:r>
        <w:rPr>
          <w:rFonts w:hint="default" w:ascii="Times New Roman" w:hAnsi="Times New Roman" w:eastAsia="仿宋_GB2312" w:cs="Times New Roman"/>
          <w:spacing w:val="-3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部门评价结果（如有）。除涉密敏感内容外，省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级部门原则上应将部门评价结果以报告的形式予以公开。报</w:t>
      </w:r>
      <w:r>
        <w:rPr>
          <w:rFonts w:hint="default" w:ascii="Times New Roman" w:hAnsi="Times New Roman" w:eastAsia="仿宋_GB2312" w:cs="Times New Roman"/>
          <w:spacing w:val="1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0"/>
          <w:sz w:val="31"/>
          <w:szCs w:val="31"/>
        </w:rPr>
        <w:t>告框架可参考《项目支出绩效评价管理办法》（吉财绩〔2022〕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711</w:t>
      </w:r>
      <w:r>
        <w:rPr>
          <w:rFonts w:hint="default" w:ascii="Times New Roman" w:hAnsi="Times New Roman" w:eastAsia="仿宋_GB2312" w:cs="Times New Roman"/>
          <w:spacing w:val="-3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号）中的《项目支出绩效评价报告（参考提纲）》。</w:t>
      </w:r>
    </w:p>
    <w:p w14:paraId="71446673">
      <w:pPr>
        <w:spacing w:line="364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5" w:type="default"/>
          <w:pgSz w:w="11907" w:h="16839"/>
          <w:pgMar w:top="1431" w:right="1694" w:bottom="1153" w:left="1785" w:header="0" w:footer="965" w:gutter="0"/>
          <w:cols w:space="720" w:num="1"/>
        </w:sectPr>
      </w:pPr>
    </w:p>
    <w:p w14:paraId="6B19D58A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1A740136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0D6E42FE">
      <w:pPr>
        <w:spacing w:before="100" w:line="224" w:lineRule="auto"/>
        <w:ind w:left="67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十一、其他重要事项情况说明</w:t>
      </w:r>
    </w:p>
    <w:p w14:paraId="1EEB9B54">
      <w:pPr>
        <w:spacing w:before="248" w:line="222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（</w:t>
      </w:r>
      <w:r>
        <w:rPr>
          <w:rFonts w:hint="default" w:ascii="Times New Roman" w:hAnsi="Times New Roman" w:eastAsia="仿宋_GB2312" w:cs="Times New Roman"/>
          <w:spacing w:val="-7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一）机关运行经费执行情况说明</w:t>
      </w:r>
    </w:p>
    <w:p w14:paraId="5430CBDE">
      <w:pPr>
        <w:spacing w:before="251" w:line="357" w:lineRule="auto"/>
        <w:ind w:left="19" w:right="170" w:firstLine="65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2023年度机关运行经费支出   万元，较2022年度增加</w:t>
      </w:r>
      <w:r>
        <w:rPr>
          <w:rFonts w:hint="default" w:ascii="Times New Roman" w:hAnsi="Times New Roman" w:eastAsia="仿宋_GB2312" w:cs="Times New Roman"/>
          <w:spacing w:val="1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（减少）  万元，增长（降低）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%，主要是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…。</w:t>
      </w:r>
    </w:p>
    <w:p w14:paraId="45F619DC">
      <w:pPr>
        <w:spacing w:before="48" w:line="224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（二）政府采购支出情况说明</w:t>
      </w:r>
    </w:p>
    <w:p w14:paraId="73D1EE52">
      <w:pPr>
        <w:spacing w:before="249" w:line="368" w:lineRule="auto"/>
        <w:ind w:left="29" w:right="24" w:firstLine="6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2023 年度政府采购支出总额 万元，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其中：政府采购货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物支出  万元、政府采购工程支出</w:t>
      </w:r>
      <w:r>
        <w:rPr>
          <w:rFonts w:hint="default" w:ascii="Times New Roman" w:hAnsi="Times New Roman" w:eastAsia="仿宋_GB2312" w:cs="Times New Roman"/>
          <w:spacing w:val="23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万元、政府采购服务支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出  万元。授予中小企业合同金额</w:t>
      </w:r>
      <w:r>
        <w:rPr>
          <w:rFonts w:hint="default" w:ascii="Times New Roman" w:hAnsi="Times New Roman" w:eastAsia="仿宋_GB2312" w:cs="Times New Roman"/>
          <w:spacing w:val="27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8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占政府采购支出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总额的 %，其中：授予小微企业合同金额  万元，</w:t>
      </w:r>
      <w:r>
        <w:rPr>
          <w:rFonts w:hint="default" w:ascii="Times New Roman" w:hAnsi="Times New Roman" w:eastAsia="仿宋_GB2312" w:cs="Times New Roman"/>
          <w:spacing w:val="-6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占授予中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小企业合同金额的 %；货物采购授予中小企业合同金额占货</w:t>
      </w:r>
      <w:r>
        <w:rPr>
          <w:rFonts w:hint="default" w:ascii="Times New Roman" w:hAnsi="Times New Roman" w:eastAsia="仿宋_GB2312" w:cs="Times New Roman"/>
          <w:spacing w:val="1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物支出金额的 %，工程采购授予中小企业合同金额占工程支</w:t>
      </w:r>
      <w:r>
        <w:rPr>
          <w:rFonts w:hint="default" w:ascii="Times New Roman" w:hAnsi="Times New Roman" w:eastAsia="仿宋_GB2312" w:cs="Times New Roman"/>
          <w:spacing w:val="1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出金额的 %，服务采购授予中小企业合同金额占服务支出金</w:t>
      </w:r>
      <w:r>
        <w:rPr>
          <w:rFonts w:hint="default" w:ascii="Times New Roman" w:hAnsi="Times New Roman" w:eastAsia="仿宋_GB2312" w:cs="Times New Roman"/>
          <w:spacing w:val="1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额的 %。</w:t>
      </w:r>
    </w:p>
    <w:p w14:paraId="6CF1D089">
      <w:pPr>
        <w:spacing w:before="48" w:line="224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（三）国有资产占用情况说明</w:t>
      </w:r>
    </w:p>
    <w:p w14:paraId="118493A5">
      <w:pPr>
        <w:spacing w:before="286" w:line="340" w:lineRule="auto"/>
        <w:ind w:left="21" w:firstLine="65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z w:val="31"/>
          <w:szCs w:val="31"/>
        </w:rPr>
        <w:t>截至</w:t>
      </w:r>
      <w:r>
        <w:rPr>
          <w:rFonts w:hint="default" w:ascii="Times New Roman" w:hAnsi="Times New Roman" w:eastAsia="仿宋_GB2312" w:cs="Times New Roman"/>
          <w:spacing w:val="-3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3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年 12 月</w:t>
      </w:r>
      <w:r>
        <w:rPr>
          <w:rFonts w:hint="default" w:ascii="Times New Roman" w:hAnsi="Times New Roman" w:eastAsia="仿宋_GB2312" w:cs="Times New Roman"/>
          <w:spacing w:val="-3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31 日，XXXX（部门标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准名称）共有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车辆  辆，其中，副部（省）级及以上领导用车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辆、主</w:t>
      </w:r>
      <w:r>
        <w:rPr>
          <w:rFonts w:hint="default" w:ascii="Times New Roman" w:hAnsi="Times New Roman" w:eastAsia="仿宋_GB2312" w:cs="Times New Roman"/>
          <w:spacing w:val="1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要负责人用车</w:t>
      </w:r>
      <w:r>
        <w:rPr>
          <w:rFonts w:hint="default" w:ascii="Times New Roman" w:hAnsi="Times New Roman" w:eastAsia="仿宋_GB2312" w:cs="Times New Roman"/>
          <w:spacing w:val="-5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辆、机要通信用车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辆、应急保障用车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XX 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>辆、执法执勤用车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>辆、特种专业技术用车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>辆</w:t>
      </w:r>
      <w:r>
        <w:rPr>
          <w:rFonts w:hint="default" w:ascii="Times New Roman" w:hAnsi="Times New Roman" w:eastAsia="仿宋_GB2312" w:cs="Times New Roman"/>
          <w:spacing w:val="11"/>
          <w:sz w:val="31"/>
          <w:szCs w:val="31"/>
        </w:rPr>
        <w:t>、离退休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干部用车</w:t>
      </w:r>
      <w:r>
        <w:rPr>
          <w:rFonts w:hint="default" w:ascii="Times New Roman" w:hAnsi="Times New Roman" w:eastAsia="仿宋_GB2312" w:cs="Times New Roman"/>
          <w:spacing w:val="-6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辆、其他用车</w:t>
      </w:r>
      <w:r>
        <w:rPr>
          <w:rFonts w:hint="default" w:ascii="Times New Roman" w:hAnsi="Times New Roman" w:eastAsia="仿宋_GB2312" w:cs="Times New Roman"/>
          <w:spacing w:val="-6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辆，其他用车主要是……；单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位价值</w:t>
      </w:r>
      <w:r>
        <w:rPr>
          <w:rFonts w:hint="default" w:ascii="Times New Roman" w:hAnsi="Times New Roman" w:eastAsia="仿宋_GB2312" w:cs="Times New Roman"/>
          <w:spacing w:val="-2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100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万元（含）以上设备（不含车辆）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2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台（套）。</w:t>
      </w:r>
    </w:p>
    <w:p w14:paraId="758C08F2">
      <w:pPr>
        <w:spacing w:line="340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6" w:type="default"/>
          <w:pgSz w:w="11907" w:h="16839"/>
          <w:pgMar w:top="1431" w:right="1774" w:bottom="1153" w:left="1785" w:header="0" w:footer="965" w:gutter="0"/>
          <w:cols w:space="720" w:num="1"/>
        </w:sectPr>
      </w:pPr>
    </w:p>
    <w:p w14:paraId="571F6390">
      <w:pPr>
        <w:spacing w:before="225" w:line="443" w:lineRule="exact"/>
        <w:ind w:left="2186"/>
        <w:outlineLvl w:val="0"/>
        <w:rPr>
          <w:rFonts w:hint="default" w:ascii="Times New Roman" w:hAnsi="Times New Roman" w:eastAsia="仿宋_GB2312" w:cs="Times New Roman"/>
          <w:sz w:val="44"/>
          <w:szCs w:val="44"/>
        </w:rPr>
      </w:pPr>
      <w:r>
        <w:rPr>
          <w:rFonts w:hint="default" w:ascii="Times New Roman" w:hAnsi="Times New Roman" w:eastAsia="仿宋_GB2312" w:cs="Times New Roman"/>
          <w:spacing w:val="-4"/>
          <w:position w:val="-2"/>
          <w:sz w:val="44"/>
          <w:szCs w:val="44"/>
        </w:rPr>
        <w:t>第四部分</w:t>
      </w:r>
      <w:r>
        <w:rPr>
          <w:rFonts w:hint="default" w:ascii="Times New Roman" w:hAnsi="Times New Roman" w:eastAsia="仿宋_GB2312" w:cs="Times New Roman"/>
          <w:spacing w:val="24"/>
          <w:position w:val="-2"/>
          <w:sz w:val="44"/>
          <w:szCs w:val="44"/>
        </w:rPr>
        <w:t xml:space="preserve">   </w:t>
      </w:r>
      <w:r>
        <w:rPr>
          <w:rFonts w:hint="default" w:ascii="Times New Roman" w:hAnsi="Times New Roman" w:eastAsia="仿宋_GB2312" w:cs="Times New Roman"/>
          <w:spacing w:val="-4"/>
          <w:position w:val="-2"/>
          <w:sz w:val="44"/>
          <w:szCs w:val="44"/>
        </w:rPr>
        <w:t>名词解释</w:t>
      </w:r>
    </w:p>
    <w:p w14:paraId="3497951C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7C307113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4578906A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548452E7">
      <w:pPr>
        <w:spacing w:before="100" w:line="297" w:lineRule="auto"/>
        <w:ind w:left="39" w:right="13" w:firstLine="65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一、财政拨款收入：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指单位从同级财政部门取得的财政</w:t>
      </w:r>
      <w:r>
        <w:rPr>
          <w:rFonts w:hint="default" w:ascii="Times New Roman" w:hAnsi="Times New Roman" w:eastAsia="仿宋_GB2312" w:cs="Times New Roman"/>
          <w:spacing w:val="1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预算资金。</w:t>
      </w:r>
    </w:p>
    <w:p w14:paraId="3E7ADED3">
      <w:pPr>
        <w:spacing w:before="250" w:line="297" w:lineRule="auto"/>
        <w:ind w:left="30" w:right="13" w:firstLine="65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二、上级补助收入：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指从主管部门和上级单位取得的非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财政补助收入。</w:t>
      </w:r>
    </w:p>
    <w:p w14:paraId="28E60D2B">
      <w:pPr>
        <w:spacing w:before="249" w:line="298" w:lineRule="auto"/>
        <w:ind w:left="44" w:right="18" w:firstLine="649"/>
        <w:outlineLvl w:val="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4"/>
          <w:sz w:val="31"/>
          <w:szCs w:val="31"/>
        </w:rPr>
        <w:t>三、事业收入：指事业单位开展专业业务活动及辅助活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-6"/>
          <w:sz w:val="31"/>
          <w:szCs w:val="31"/>
        </w:rPr>
        <w:t>动取得的收入。</w:t>
      </w:r>
    </w:p>
    <w:p w14:paraId="2126BB1C">
      <w:pPr>
        <w:spacing w:before="249" w:line="297" w:lineRule="auto"/>
        <w:ind w:left="44" w:right="16" w:firstLine="66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四、经营收入：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指事业单位在专业业务活动及其辅助活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动之外开展非独立核算经营活动取得的收入。</w:t>
      </w:r>
    </w:p>
    <w:p w14:paraId="13F3479F">
      <w:pPr>
        <w:spacing w:before="249" w:line="298" w:lineRule="auto"/>
        <w:ind w:left="28" w:right="13" w:firstLine="65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五、附属单位上缴收入：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指事业单位附属独立核算单位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按照有关规定上缴的收入。</w:t>
      </w:r>
    </w:p>
    <w:p w14:paraId="430D1A9C">
      <w:pPr>
        <w:spacing w:before="246" w:line="347" w:lineRule="auto"/>
        <w:ind w:left="29" w:right="14" w:firstLine="65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六、其他收入：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指除上述收入以外的各项收入。包括未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纳入财政预算或财政专户管理的投资收益、银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行存款利息收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入、租金收入、捐赠收入，现金盘盈收入、存货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盘盈收入、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收回已核销应收及预付款项、无法偿付的应付及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预收款项，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从省财政以外的同级单位取得的经费、从非省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财政取得的经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费，以及行政单位收到的财政专户管理资金等。</w:t>
      </w:r>
    </w:p>
    <w:p w14:paraId="2BA172AF">
      <w:pPr>
        <w:spacing w:before="252" w:line="322" w:lineRule="auto"/>
        <w:ind w:left="28" w:right="10" w:firstLine="64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5"/>
          <w:sz w:val="31"/>
          <w:szCs w:val="31"/>
        </w:rPr>
        <w:t>七、使用非财政拨款结余（含专用结余</w:t>
      </w:r>
      <w:r>
        <w:rPr>
          <w:rFonts w:hint="default" w:ascii="Times New Roman" w:hAnsi="Times New Roman" w:eastAsia="仿宋_GB2312" w:cs="Times New Roman"/>
          <w:b/>
          <w:bCs/>
          <w:spacing w:val="16"/>
          <w:sz w:val="31"/>
          <w:szCs w:val="31"/>
        </w:rPr>
        <w:t>）：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指事业单位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1"/>
          <w:sz w:val="31"/>
          <w:szCs w:val="31"/>
        </w:rPr>
        <w:t>按照预算管理要求使用非财政拨款结余弥补收支差额的金</w:t>
      </w:r>
      <w:r>
        <w:rPr>
          <w:rFonts w:hint="default" w:ascii="Times New Roman" w:hAnsi="Times New Roman" w:eastAsia="仿宋_GB2312" w:cs="Times New Roman"/>
          <w:spacing w:val="1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额，以及使用专用结余安排支出的金额。</w:t>
      </w:r>
    </w:p>
    <w:p w14:paraId="08F2AE28">
      <w:pPr>
        <w:spacing w:before="249" w:line="220" w:lineRule="auto"/>
        <w:ind w:right="13"/>
        <w:jc w:val="right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八、年初结转和结余：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指单位以前年度尚未完成、结转</w:t>
      </w:r>
    </w:p>
    <w:p w14:paraId="3FB879F4">
      <w:pPr>
        <w:spacing w:line="220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7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500C15F4">
      <w:pPr>
        <w:spacing w:before="160" w:line="357" w:lineRule="auto"/>
        <w:ind w:left="46" w:right="189" w:hanging="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到本年按有关规定用途继续使用的资金，或项目已完成等产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生的结余资金。</w:t>
      </w:r>
    </w:p>
    <w:p w14:paraId="7F717CA1">
      <w:pPr>
        <w:spacing w:before="48" w:line="355" w:lineRule="auto"/>
        <w:ind w:left="32" w:right="155" w:firstLine="6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九、结余分配：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指事业单位按照会计制度规定缴纳的所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得税、提取的专用结余以及转入非财政拨款结余的金额等。</w:t>
      </w:r>
    </w:p>
    <w:p w14:paraId="36078E5B">
      <w:pPr>
        <w:spacing w:before="54" w:line="364" w:lineRule="auto"/>
        <w:ind w:left="29" w:right="153" w:firstLine="65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十、年末结转和结余：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指单位按有关规定结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转到下年或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1"/>
          <w:sz w:val="31"/>
          <w:szCs w:val="31"/>
        </w:rPr>
        <w:t>以后年度继续使用的资金，或项目已完成等产生的结余资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6"/>
          <w:sz w:val="31"/>
          <w:szCs w:val="31"/>
        </w:rPr>
        <w:t>金。</w:t>
      </w:r>
    </w:p>
    <w:p w14:paraId="3D41E0EC">
      <w:pPr>
        <w:spacing w:before="39" w:line="297" w:lineRule="auto"/>
        <w:ind w:left="30" w:right="153" w:firstLine="65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十一、基本支出：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指为保障机构正常运转、完成日常工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作任务而发生的人员支出和公用支出。</w:t>
      </w:r>
    </w:p>
    <w:p w14:paraId="57A65D69">
      <w:pPr>
        <w:spacing w:before="250" w:line="298" w:lineRule="auto"/>
        <w:ind w:left="33" w:right="154" w:firstLine="65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十二、项目支出：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指在基本支出之外为完成特定行政任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务或事业发展目标所发生的支出。</w:t>
      </w:r>
    </w:p>
    <w:p w14:paraId="6BAB99A2">
      <w:pPr>
        <w:spacing w:before="249" w:line="297" w:lineRule="auto"/>
        <w:ind w:left="44" w:right="155" w:firstLine="63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十三、经营支出：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指事业单位在专业业务活动及其辅助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活动之外开展非独立核算经营活动发生的支出。</w:t>
      </w:r>
    </w:p>
    <w:p w14:paraId="719D3962">
      <w:pPr>
        <w:spacing w:before="249" w:line="297" w:lineRule="auto"/>
        <w:ind w:left="40" w:right="153" w:firstLine="64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十四、上缴上级支出：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指事业单位按照有关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规定上缴上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>级单位的支出。</w:t>
      </w:r>
    </w:p>
    <w:p w14:paraId="6364353C">
      <w:pPr>
        <w:spacing w:before="251" w:line="297" w:lineRule="auto"/>
        <w:ind w:left="29" w:right="152" w:firstLine="65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十五、对附属单位补助支出：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指事业单位用财政补助收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入之外的收入对附属单位补助发生的支出。</w:t>
      </w:r>
    </w:p>
    <w:p w14:paraId="34E86308">
      <w:pPr>
        <w:spacing w:before="252" w:line="342" w:lineRule="auto"/>
        <w:ind w:left="25" w:firstLine="65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十六、“三公”经费：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纳入省级财政预决算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管理的“三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公”经费，是指省级部门用财政拨款安排的因公出国（境）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费、公务用车购置及运行维护费和公务接待费。是党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政机关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维持运转或完成特定工作任务所开支的相关支出，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是政府行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-12"/>
          <w:sz w:val="31"/>
          <w:szCs w:val="31"/>
        </w:rPr>
        <w:t>政开支的一部分。其中，</w:t>
      </w:r>
      <w:r>
        <w:rPr>
          <w:rFonts w:hint="default" w:ascii="Times New Roman" w:hAnsi="Times New Roman" w:eastAsia="仿宋_GB2312" w:cs="Times New Roman"/>
          <w:spacing w:val="-4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2"/>
          <w:sz w:val="31"/>
          <w:szCs w:val="31"/>
        </w:rPr>
        <w:t>因公出国（境）费反映公</w:t>
      </w:r>
      <w:r>
        <w:rPr>
          <w:rFonts w:hint="default" w:ascii="Times New Roman" w:hAnsi="Times New Roman" w:eastAsia="仿宋_GB2312" w:cs="Times New Roman"/>
          <w:spacing w:val="-13"/>
          <w:sz w:val="31"/>
          <w:szCs w:val="31"/>
        </w:rPr>
        <w:t>务出国（境）</w:t>
      </w:r>
    </w:p>
    <w:p w14:paraId="0166C7D6">
      <w:pPr>
        <w:spacing w:line="342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8" w:type="default"/>
          <w:pgSz w:w="11907" w:h="16839"/>
          <w:pgMar w:top="1431" w:right="1646" w:bottom="1153" w:left="1785" w:header="0" w:footer="965" w:gutter="0"/>
          <w:cols w:space="720" w:num="1"/>
        </w:sectPr>
      </w:pPr>
    </w:p>
    <w:p w14:paraId="51C27131">
      <w:pPr>
        <w:spacing w:before="155" w:line="366" w:lineRule="auto"/>
        <w:ind w:left="25" w:firstLine="28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的国际旅费、国外城市间交通费、住宿费、伙食费、培训费、</w:t>
      </w:r>
      <w:r>
        <w:rPr>
          <w:rFonts w:hint="default" w:ascii="Times New Roman" w:hAnsi="Times New Roman" w:eastAsia="仿宋_GB2312" w:cs="Times New Roman"/>
          <w:spacing w:val="1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公杂费等支出；公务用车购置及运行费反映单位公务用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车车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辆购置支出（含车辆购置税）及燃料费、维修费、过桥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过路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费、保险费、安全奖励费等支出；公务接待费反映单位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按规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定开支的各类公务接待（含外宾接待）支出。</w:t>
      </w:r>
    </w:p>
    <w:p w14:paraId="32985CEB">
      <w:pPr>
        <w:spacing w:before="48" w:line="347" w:lineRule="auto"/>
        <w:ind w:left="26" w:right="93" w:firstLine="65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十七、机关运行经费：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指为保障行政单位（包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括参照公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务员法管理的事业单位）运行用于购买货物和服务的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各项资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金，包括办公费、</w:t>
      </w:r>
      <w:r>
        <w:rPr>
          <w:rFonts w:hint="default" w:ascii="Times New Roman" w:hAnsi="Times New Roman" w:eastAsia="仿宋_GB2312" w:cs="Times New Roman"/>
          <w:spacing w:val="-8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印刷费、邮电费、差旅费、会议费、福利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费、日常维修费、专用材料及一般设备购置费、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办公用房水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电费、办公用房取暖费、办公用房物业管理费、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公务用车运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行维护费以及其他费用。</w:t>
      </w:r>
    </w:p>
    <w:p w14:paraId="47600C46">
      <w:pPr>
        <w:spacing w:before="250" w:line="322" w:lineRule="auto"/>
        <w:ind w:left="43" w:right="93" w:firstLine="6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十八、******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（对部门使用的所有“项”级政府收支分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类科目，参照《2023年政府收支分类科目》中的科目说明和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中央部门决算公开内容进行说明</w:t>
      </w:r>
      <w:r>
        <w:rPr>
          <w:rFonts w:hint="default" w:ascii="Times New Roman" w:hAnsi="Times New Roman" w:eastAsia="仿宋_GB2312" w:cs="Times New Roman"/>
          <w:spacing w:val="19"/>
          <w:sz w:val="31"/>
          <w:szCs w:val="31"/>
        </w:rPr>
        <w:t>）：</w:t>
      </w:r>
    </w:p>
    <w:p w14:paraId="652AF0EE">
      <w:pPr>
        <w:spacing w:before="250" w:line="224" w:lineRule="auto"/>
        <w:ind w:left="68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-8"/>
          <w:sz w:val="31"/>
          <w:szCs w:val="31"/>
        </w:rPr>
        <w:t>十九、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8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8"/>
          <w:sz w:val="31"/>
          <w:szCs w:val="31"/>
        </w:rPr>
        <w:t>…（同上）</w:t>
      </w:r>
    </w:p>
    <w:p w14:paraId="0549807A">
      <w:pPr>
        <w:spacing w:before="249" w:line="355" w:lineRule="auto"/>
        <w:ind w:left="26" w:right="98" w:firstLine="648"/>
        <w:rPr>
          <w:rFonts w:hint="default" w:ascii="Times New Roman" w:hAnsi="Times New Roman" w:eastAsia="仿宋_GB2312" w:cs="Times New Roman"/>
          <w:color w:val="FF0000"/>
          <w:spacing w:val="5"/>
          <w:sz w:val="31"/>
          <w:szCs w:val="31"/>
        </w:rPr>
      </w:pPr>
    </w:p>
    <w:sectPr>
      <w:footerReference r:id="rId19" w:type="default"/>
      <w:pgSz w:w="11907" w:h="16839"/>
      <w:pgMar w:top="1431" w:right="1705" w:bottom="1153" w:left="1785" w:header="0" w:footer="965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_GB2312">
    <w:altName w:val="楷体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4B96E4B">
    <w:pPr>
      <w:spacing w:line="177" w:lineRule="auto"/>
      <w:ind w:left="413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1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691B391">
    <w:pPr>
      <w:spacing w:line="177" w:lineRule="auto"/>
      <w:ind w:left="411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2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5085AE7">
    <w:pPr>
      <w:spacing w:line="176" w:lineRule="auto"/>
      <w:ind w:left="4122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3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ED0CCA9">
    <w:pPr>
      <w:spacing w:line="176" w:lineRule="auto"/>
      <w:ind w:left="4127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8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50A72E3">
    <w:pPr>
      <w:spacing w:line="177" w:lineRule="auto"/>
      <w:ind w:left="408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6"/>
        <w:sz w:val="21"/>
        <w:szCs w:val="21"/>
      </w:rPr>
      <w:t>14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293F0B9">
    <w:pPr>
      <w:spacing w:line="176" w:lineRule="auto"/>
      <w:ind w:left="408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6"/>
        <w:sz w:val="21"/>
        <w:szCs w:val="21"/>
      </w:rPr>
      <w:t>18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272E68B">
    <w:pPr>
      <w:spacing w:line="176" w:lineRule="auto"/>
      <w:ind w:left="408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6"/>
        <w:sz w:val="21"/>
        <w:szCs w:val="21"/>
      </w:rPr>
      <w:t>19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1126CF4">
    <w:pPr>
      <w:spacing w:line="176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20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93D945C">
    <w:pPr>
      <w:spacing w:line="177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21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698B88A">
    <w:pPr>
      <w:spacing w:line="177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22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F15A468">
    <w:pPr>
      <w:spacing w:line="176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23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E3D8113">
    <w:pPr>
      <w:spacing w:line="177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24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F9DFA95">
    <w:pPr>
      <w:spacing w:line="176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25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E0A2DAA">
    <w:pPr>
      <w:spacing w:line="176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26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5BF4985">
    <w:pPr>
      <w:spacing w:line="176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27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isplayBackgroundShape w:val="1"/>
  <w:bordersDoNotSurroundHeader w:val="0"/>
  <w:bordersDoNotSurroundFooter w:val="0"/>
  <w:documentProtection w:enforcement="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docVars>
    <w:docVar w:name="commondata" w:val="eyJoZGlkIjoiMjlhODY2NDQ5MThkODEzY2UwNDE0Mzk4YzBmMTk1NmMifQ=="/>
  </w:docVars>
  <w:rsids>
    <w:rsidRoot w:val="00000000"/>
    <w:rsid w:val="069F28F0"/>
    <w:rsid w:val="0C8F0920"/>
    <w:rsid w:val="16E22E2F"/>
    <w:rsid w:val="1A4B52AF"/>
    <w:rsid w:val="21A40A9A"/>
    <w:rsid w:val="2324183F"/>
    <w:rsid w:val="27F15616"/>
    <w:rsid w:val="2D502B47"/>
    <w:rsid w:val="34D00132"/>
    <w:rsid w:val="42925A0F"/>
    <w:rsid w:val="595F72AE"/>
    <w:rsid w:val="637109B2"/>
    <w:rsid w:val="6DCD5D1E"/>
    <w:rsid w:val="732C4B8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5">
    <w:name w:val="Default Paragraph Font"/>
    <w:link w:val="6"/>
    <w:qFormat/>
    <w:uiPriority w:val="0"/>
    <w:rPr>
      <w:rFonts w:eastAsia="宋体"/>
      <w:sz w:val="21"/>
      <w:szCs w:val="20"/>
    </w:rPr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customStyle="1" w:styleId="6">
    <w:name w:val=" Char"/>
    <w:basedOn w:val="1"/>
    <w:link w:val="5"/>
    <w:qFormat/>
    <w:uiPriority w:val="0"/>
    <w:pPr>
      <w:widowControl/>
      <w:spacing w:after="160" w:line="240" w:lineRule="exact"/>
      <w:jc w:val="left"/>
    </w:pPr>
    <w:rPr>
      <w:rFonts w:eastAsia="宋体"/>
      <w:sz w:val="21"/>
      <w:szCs w:val="20"/>
    </w:rPr>
  </w:style>
  <w:style w:type="character" w:styleId="7">
    <w:name w:val="page number"/>
    <w:basedOn w:val="5"/>
    <w:qFormat/>
    <w:uiPriority w:val="0"/>
  </w:style>
  <w:style w:type="table" w:customStyle="1" w:styleId="8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9">
    <w:name w:val="20"/>
    <w:basedOn w:val="5"/>
    <w:qFormat/>
    <w:uiPriority w:val="0"/>
    <w:rPr>
      <w:rFonts w:hint="default" w:ascii="Times New Roman" w:eastAsia="楷体_GB2312" w:cs="楷体_GB2312"/>
      <w:sz w:val="21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5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6" Type="http://schemas.openxmlformats.org/officeDocument/2006/relationships/fontTable" Target="fontTable.xml"/><Relationship Id="rId35" Type="http://schemas.openxmlformats.org/officeDocument/2006/relationships/chart" Target="charts/chart6.xml"/><Relationship Id="rId34" Type="http://schemas.openxmlformats.org/officeDocument/2006/relationships/chart" Target="charts/chart5.xml"/><Relationship Id="rId33" Type="http://schemas.openxmlformats.org/officeDocument/2006/relationships/chart" Target="charts/chart4.xml"/><Relationship Id="rId32" Type="http://schemas.openxmlformats.org/officeDocument/2006/relationships/chart" Target="charts/chart3.xml"/><Relationship Id="rId31" Type="http://schemas.openxmlformats.org/officeDocument/2006/relationships/chart" Target="charts/chart2.xml"/><Relationship Id="rId30" Type="http://schemas.openxmlformats.org/officeDocument/2006/relationships/chart" Target="charts/chart1.xml"/><Relationship Id="rId3" Type="http://schemas.openxmlformats.org/officeDocument/2006/relationships/footnotes" Target="footnotes.xml"/><Relationship Id="rId29" Type="http://schemas.openxmlformats.org/officeDocument/2006/relationships/image" Target="media/image9.jpeg"/><Relationship Id="rId28" Type="http://schemas.openxmlformats.org/officeDocument/2006/relationships/image" Target="media/image8.jpeg"/><Relationship Id="rId27" Type="http://schemas.openxmlformats.org/officeDocument/2006/relationships/image" Target="media/image7.jpeg"/><Relationship Id="rId26" Type="http://schemas.openxmlformats.org/officeDocument/2006/relationships/image" Target="media/image6.jpeg"/><Relationship Id="rId25" Type="http://schemas.openxmlformats.org/officeDocument/2006/relationships/image" Target="media/image5.jpeg"/><Relationship Id="rId24" Type="http://schemas.openxmlformats.org/officeDocument/2006/relationships/image" Target="media/image4.jpeg"/><Relationship Id="rId23" Type="http://schemas.openxmlformats.org/officeDocument/2006/relationships/image" Target="media/image3.jpeg"/><Relationship Id="rId22" Type="http://schemas.openxmlformats.org/officeDocument/2006/relationships/image" Target="media/image2.jpeg"/><Relationship Id="rId21" Type="http://schemas.openxmlformats.org/officeDocument/2006/relationships/image" Target="media/image1.jpeg"/><Relationship Id="rId20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oter" Target="footer15.xml"/><Relationship Id="rId18" Type="http://schemas.openxmlformats.org/officeDocument/2006/relationships/footer" Target="footer14.xml"/><Relationship Id="rId17" Type="http://schemas.openxmlformats.org/officeDocument/2006/relationships/footer" Target="footer13.xml"/><Relationship Id="rId16" Type="http://schemas.openxmlformats.org/officeDocument/2006/relationships/footer" Target="footer12.xml"/><Relationship Id="rId15" Type="http://schemas.openxmlformats.org/officeDocument/2006/relationships/footer" Target="footer11.xml"/><Relationship Id="rId14" Type="http://schemas.openxmlformats.org/officeDocument/2006/relationships/footer" Target="footer10.xml"/><Relationship Id="rId13" Type="http://schemas.openxmlformats.org/officeDocument/2006/relationships/footer" Target="footer9.xml"/><Relationship Id="rId12" Type="http://schemas.openxmlformats.org/officeDocument/2006/relationships/footer" Target="footer8.xml"/><Relationship Id="rId11" Type="http://schemas.openxmlformats.org/officeDocument/2006/relationships/footer" Target="footer7.xml"/><Relationship Id="rId10" Type="http://schemas.openxmlformats.org/officeDocument/2006/relationships/footer" Target="footer6.xml"/><Relationship Id="rId1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3" Type="http://schemas.microsoft.com/office/2011/relationships/chartColorStyle" Target="colors1.xml"/><Relationship Id="rId2" Type="http://schemas.microsoft.com/office/2011/relationships/chartStyle" Target="style1.xml"/><Relationship Id="rId1" Type="http://schemas.openxmlformats.org/officeDocument/2006/relationships/package" Target="../embeddings/Workbook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Workbook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Workbook3.xlsx"/></Relationships>
</file>

<file path=word/charts/_rels/chart4.xml.rels><?xml version="1.0" encoding="UTF-8" standalone="yes"?>
<Relationships xmlns="http://schemas.openxmlformats.org/package/2006/relationships"><Relationship Id="rId3" Type="http://schemas.microsoft.com/office/2011/relationships/chartColorStyle" Target="colors2.xml"/><Relationship Id="rId2" Type="http://schemas.microsoft.com/office/2011/relationships/chartStyle" Target="style2.xml"/><Relationship Id="rId1" Type="http://schemas.openxmlformats.org/officeDocument/2006/relationships/package" Target="../embeddings/Workbook4.xlsx"/></Relationships>
</file>

<file path=word/charts/_rels/chart5.xml.rels><?xml version="1.0" encoding="UTF-8" standalone="yes"?>
<Relationships xmlns="http://schemas.openxmlformats.org/package/2006/relationships"><Relationship Id="rId3" Type="http://schemas.microsoft.com/office/2011/relationships/chartColorStyle" Target="colors3.xml"/><Relationship Id="rId2" Type="http://schemas.microsoft.com/office/2011/relationships/chartStyle" Target="style3.xml"/><Relationship Id="rId1" Type="http://schemas.openxmlformats.org/officeDocument/2006/relationships/package" Target="../embeddings/Workbook6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Workbook5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0" vertOverflow="ellipsis" vert="horz" wrap="square" anchor="ctr" anchorCtr="1"/>
          <a:lstStyle/>
          <a:p>
            <a:pPr defTabSz="914400">
              <a:defRPr lang="zh-CN" sz="1400" b="1" i="0" u="none" strike="noStrike" kern="1200" baseline="0">
                <a:solidFill>
                  <a:schemeClr val="tx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t>收入支出总体情况</a:t>
            </a:r>
          </a:p>
        </c:rich>
      </c:tx>
      <c:layout>
        <c:manualLayout>
          <c:xMode val="edge"/>
          <c:yMode val="edge"/>
          <c:x val="0.0192056441076561"/>
          <c:y val="0.0308710033076075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0900312532791253"/>
          <c:y val="0.180255753587582"/>
          <c:w val="0.873734694843312"/>
          <c:h val="0.686161352212451"/>
        </c:manualLayout>
      </c:layout>
      <c:barChart>
        <c:barDir val="col"/>
        <c:grouping val="clustered"/>
        <c:varyColors val="0"/>
        <c:ser>
          <c:idx val="3"/>
          <c:order val="0"/>
          <c:tx>
            <c:strRef>
              <c:f>Sheet1!$B$1</c:f>
              <c:strCache>
                <c:ptCount val="1"/>
                <c:pt idx="0">
                  <c:v>2023 年度收、支总计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Sheet1!$B$2</c:f>
              <c:numCache>
                <c:formatCode>#,##0.00</c:formatCode>
                <c:ptCount val="1"/>
                <c:pt idx="0">
                  <c:v>1964.52</c:v>
                </c:pt>
              </c:numCache>
            </c:numRef>
          </c:val>
        </c:ser>
        <c:ser>
          <c:idx val="4"/>
          <c:order val="1"/>
          <c:tx>
            <c:strRef>
              <c:f>Sheet1!$C$1</c:f>
              <c:strCache>
                <c:ptCount val="1"/>
                <c:pt idx="0">
                  <c:v>2022年度收、支总计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Sheet1!$C$2</c:f>
              <c:numCache>
                <c:formatCode>General</c:formatCode>
                <c:ptCount val="1"/>
                <c:pt idx="0">
                  <c:v>1735.5</c:v>
                </c:pt>
              </c:numCache>
            </c:numRef>
          </c:val>
        </c:ser>
        <c:ser>
          <c:idx val="0"/>
          <c:order val="2"/>
          <c:tx>
            <c:strRef>
              <c:f>Sheet1!$D$1</c:f>
              <c:strCache>
                <c:ptCount val="1"/>
                <c:pt idx="0">
                  <c:v>收、支总计各减少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Sheet1!$D$2</c:f>
              <c:numCache>
                <c:formatCode>General</c:formatCode>
                <c:ptCount val="1"/>
                <c:pt idx="0">
                  <c:v>129.02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246"/>
        <c:overlap val="-28"/>
        <c:axId val="763130274"/>
        <c:axId val="514909203"/>
      </c:barChart>
      <c:catAx>
        <c:axId val="763130274"/>
        <c:scaling>
          <c:orientation val="minMax"/>
        </c:scaling>
        <c:delete val="0"/>
        <c:axPos val="b"/>
        <c:numFmt formatCode="General" sourceLinked="1"/>
        <c:majorTickMark val="in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0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</a:p>
        </c:txPr>
        <c:crossAx val="514909203"/>
        <c:crosses val="autoZero"/>
        <c:auto val="1"/>
        <c:lblAlgn val="ctr"/>
        <c:lblOffset val="100"/>
        <c:noMultiLvlLbl val="0"/>
      </c:catAx>
      <c:valAx>
        <c:axId val="514909203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0200"/>
                </a:schemeClr>
              </a:solidFill>
              <a:round/>
            </a:ln>
            <a:effectLst/>
          </c:spPr>
        </c:majorGridlines>
        <c:numFmt formatCode="#,##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0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</a:p>
        </c:txPr>
        <c:crossAx val="76313027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0" vertOverflow="ellipsis" vert="horz" wrap="square" anchor="ctr" anchorCtr="1"/>
        <a:lstStyle/>
        <a:p>
          <a:pPr>
            <a:defRPr lang="zh-CN"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899d55ff-de00-42d5-bdfc-347b98e7620c}"/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0" vertOverflow="ellipsis" vert="horz" wrap="square" anchor="ctr" anchorCtr="1" forceAA="0"/>
          <a:lstStyle/>
          <a:p>
            <a:pPr defTabSz="914400">
              <a:defRPr lang="zh-CN" sz="1400" b="0" i="0" u="none" strike="noStrike" kern="1200" baseline="0">
                <a:solidFill>
                  <a:schemeClr val="tx1">
                    <a:lumMod val="75000"/>
                    <a:lumOff val="25000"/>
                  </a:schemeClr>
                </a:solidFill>
                <a:latin typeface="微软雅黑" panose="020B0503020204020204" charset="-122"/>
                <a:ea typeface="微软雅黑" panose="020B0503020204020204" charset="-122"/>
                <a:cs typeface="微软雅黑" panose="020B0503020204020204" charset="-122"/>
                <a:sym typeface="微软雅黑" panose="020B0503020204020204" charset="-122"/>
              </a:defRPr>
            </a:pPr>
            <a:r>
              <a:t>收入情况</a:t>
            </a: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view3D>
      <c:rotX val="30"/>
      <c:rotY val="0"/>
      <c:depthPercent val="10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销售额</c:v>
                </c:pt>
              </c:strCache>
            </c:strRef>
          </c:tx>
          <c:spPr>
            <a:ln w="15875">
              <a:solidFill>
                <a:schemeClr val="bg1"/>
              </a:solidFill>
            </a:ln>
            <a:effectLst/>
            <a:scene3d>
              <a:camera prst="orthographicFront"/>
              <a:lightRig rig="threePt" dir="t"/>
            </a:scene3d>
            <a:sp3d contourW="15875"/>
          </c:spPr>
          <c:explosion val="0"/>
          <c:dPt>
            <c:idx val="0"/>
            <c:bubble3D val="0"/>
            <c:spPr>
              <a:solidFill>
                <a:schemeClr val="accent1">
                  <a:shade val="76667"/>
                </a:schemeClr>
              </a:solidFill>
              <a:ln w="15875">
                <a:solidFill>
                  <a:schemeClr val="bg1"/>
                </a:solidFill>
              </a:ln>
              <a:effectLst/>
              <a:scene3d>
                <a:camera prst="orthographicFront"/>
                <a:lightRig rig="threePt" dir="t"/>
              </a:scene3d>
              <a:sp3d contourW="15875"/>
            </c:spPr>
          </c:dPt>
          <c:dPt>
            <c:idx val="1"/>
            <c:bubble3D val="0"/>
            <c:spPr>
              <a:solidFill>
                <a:schemeClr val="accent2">
                  <a:shade val="76667"/>
                </a:schemeClr>
              </a:solidFill>
              <a:ln w="15875">
                <a:solidFill>
                  <a:schemeClr val="bg1"/>
                </a:solidFill>
              </a:ln>
              <a:effectLst/>
              <a:scene3d>
                <a:camera prst="orthographicFront"/>
                <a:lightRig rig="threePt" dir="t"/>
              </a:scene3d>
              <a:sp3d contourW="15875"/>
            </c:spPr>
          </c:dPt>
          <c:dPt>
            <c:idx val="2"/>
            <c:bubble3D val="0"/>
            <c:spPr>
              <a:solidFill>
                <a:schemeClr val="accent3">
                  <a:shade val="76667"/>
                </a:schemeClr>
              </a:solidFill>
              <a:ln w="15875">
                <a:solidFill>
                  <a:schemeClr val="bg1"/>
                </a:solidFill>
              </a:ln>
              <a:effectLst/>
              <a:scene3d>
                <a:camera prst="orthographicFront"/>
                <a:lightRig rig="threePt" dir="t"/>
              </a:scene3d>
              <a:sp3d contourW="15875"/>
            </c:spPr>
          </c:dPt>
          <c:dPt>
            <c:idx val="3"/>
            <c:bubble3D val="0"/>
            <c:spPr>
              <a:solidFill>
                <a:schemeClr val="accent4">
                  <a:shade val="76667"/>
                </a:schemeClr>
              </a:solidFill>
              <a:ln w="15875">
                <a:solidFill>
                  <a:schemeClr val="bg1"/>
                </a:solidFill>
              </a:ln>
              <a:effectLst/>
              <a:scene3d>
                <a:camera prst="orthographicFront"/>
                <a:lightRig rig="threePt" dir="t"/>
              </a:scene3d>
              <a:sp3d contourW="15875"/>
            </c:spPr>
          </c:dPt>
          <c:dLbls>
            <c:dLbl>
              <c:idx val="2"/>
              <c:layout>
                <c:manualLayout>
                  <c:x val="-0.0604010630587098"/>
                  <c:y val="-0.0142371440713982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3"/>
              <c:layout>
                <c:manualLayout>
                  <c:x val="0.128775066441169"/>
                  <c:y val="-0.0849978750531237"/>
                </c:manualLayout>
              </c:layout>
              <c:dLblPos val="bestFit"/>
              <c:showLegendKey val="0"/>
              <c:showVal val="1"/>
              <c:showCatName val="1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numFmt formatCode="General" sourceLinked="1"/>
            <c:spPr>
              <a:noFill/>
              <a:ln w="6350"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 forceAA="0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微软雅黑" panose="020B0503020204020204" charset="-122"/>
                    <a:ea typeface="微软雅黑" panose="020B0503020204020204" charset="-122"/>
                    <a:cs typeface="微软雅黑" panose="020B0503020204020204" charset="-122"/>
                    <a:sym typeface="微软雅黑" panose="020B0503020204020204" charset="-122"/>
                  </a:defRPr>
                </a:pPr>
              </a:p>
            </c:txPr>
            <c:dLblPos val="outEnd"/>
            <c:showLegendKey val="0"/>
            <c:showVal val="1"/>
            <c:showCatName val="1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本年收入合计</c:v>
                </c:pt>
                <c:pt idx="1">
                  <c:v>财政拨款收入</c:v>
                </c:pt>
                <c:pt idx="2">
                  <c:v> 比 上年减少</c:v>
                </c:pt>
                <c:pt idx="3">
                  <c:v>其他收入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1864.4</c:v>
                </c:pt>
                <c:pt idx="1">
                  <c:v>1864.25</c:v>
                </c:pt>
                <c:pt idx="2">
                  <c:v>128.27</c:v>
                </c:pt>
                <c:pt idx="3">
                  <c:v>0.14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</c:pie3DChart>
      <c:spPr>
        <a:noFill/>
        <a:ln>
          <a:noFill/>
        </a:ln>
        <a:effectLst/>
      </c:spPr>
    </c:plotArea>
    <c:plotVisOnly val="1"/>
    <c:dispBlanksAs val="gap"/>
    <c:showDLblsOverMax val="0"/>
    <c:extLst>
      <c:ext uri="{0b15fc19-7d7d-44ad-8c2d-2c3a37ce22c3}">
        <chartProps xmlns="https://web.wps.cn/et/2018/main" chartId="{f5722a8f-b38f-4768-9657-e543cf613830}"/>
      </c:ext>
    </c:extLst>
  </c:chart>
  <c:spPr>
    <a:solidFill>
      <a:schemeClr val="bg1"/>
    </a:solidFill>
    <a:ln w="6350" cap="flat" cmpd="sng" algn="ctr">
      <a:solidFill>
        <a:schemeClr val="tx1">
          <a:lumMod val="50000"/>
          <a:lumOff val="50000"/>
          <a:alpha val="25000"/>
        </a:schemeClr>
      </a:solidFill>
      <a:prstDash val="solid"/>
      <a:round/>
    </a:ln>
    <a:effectLst>
      <a:outerShdw blurRad="63500" dist="37357" dir="2700000" sx="0" sy="0" rotWithShape="0">
        <a:scrgbClr r="0" g="0" b="0"/>
      </a:outerShdw>
    </a:effectLst>
  </c:spPr>
  <c:txPr>
    <a:bodyPr/>
    <a:lstStyle/>
    <a:p>
      <a:pPr>
        <a:defRPr lang="zh-CN">
          <a:solidFill>
            <a:schemeClr val="tx1">
              <a:lumMod val="75000"/>
              <a:lumOff val="25000"/>
            </a:schemeClr>
          </a:solidFill>
          <a:latin typeface="微软雅黑" panose="020B0503020204020204" charset="-122"/>
          <a:ea typeface="微软雅黑" panose="020B0503020204020204" charset="-122"/>
          <a:cs typeface="微软雅黑" panose="020B0503020204020204" charset="-122"/>
          <a:sym typeface="微软雅黑" panose="020B0503020204020204" charset="-122"/>
        </a:defRPr>
      </a:pPr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0" vertOverflow="ellipsis" vert="horz" wrap="square" anchor="ctr" anchorCtr="1" forceAA="0"/>
          <a:lstStyle/>
          <a:p>
            <a:pPr defTabSz="914400">
              <a:defRPr lang="zh-CN" sz="1400" b="0" i="0" u="none" strike="noStrike" kern="1200" baseline="0">
                <a:solidFill>
                  <a:schemeClr val="tx1">
                    <a:lumMod val="75000"/>
                    <a:lumOff val="25000"/>
                  </a:schemeClr>
                </a:solidFill>
                <a:latin typeface="微软雅黑" panose="020B0503020204020204" charset="-122"/>
                <a:ea typeface="微软雅黑" panose="020B0503020204020204" charset="-122"/>
                <a:cs typeface="微软雅黑" panose="020B0503020204020204" charset="-122"/>
                <a:sym typeface="微软雅黑" panose="020B0503020204020204" charset="-122"/>
              </a:defRPr>
            </a:pPr>
            <a:r>
              <a:t>支出情况</a:t>
            </a: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view3D>
      <c:rotX val="30"/>
      <c:rotY val="0"/>
      <c:depthPercent val="10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销售额</c:v>
                </c:pt>
              </c:strCache>
            </c:strRef>
          </c:tx>
          <c:spPr>
            <a:ln w="15875">
              <a:solidFill>
                <a:schemeClr val="bg1"/>
              </a:solidFill>
            </a:ln>
            <a:effectLst/>
            <a:scene3d>
              <a:camera prst="orthographicFront"/>
              <a:lightRig rig="threePt" dir="t"/>
            </a:scene3d>
            <a:sp3d contourW="15875"/>
          </c:spPr>
          <c:explosion val="0"/>
          <c:dPt>
            <c:idx val="0"/>
            <c:bubble3D val="0"/>
            <c:spPr>
              <a:solidFill>
                <a:schemeClr val="accent1">
                  <a:shade val="76667"/>
                </a:schemeClr>
              </a:solidFill>
              <a:ln w="15875">
                <a:solidFill>
                  <a:schemeClr val="bg1"/>
                </a:solidFill>
              </a:ln>
              <a:effectLst/>
              <a:scene3d>
                <a:camera prst="orthographicFront"/>
                <a:lightRig rig="threePt" dir="t"/>
              </a:scene3d>
              <a:sp3d contourW="15875"/>
            </c:spPr>
          </c:dPt>
          <c:dPt>
            <c:idx val="1"/>
            <c:bubble3D val="0"/>
            <c:spPr>
              <a:solidFill>
                <a:schemeClr val="accent2">
                  <a:shade val="76667"/>
                </a:schemeClr>
              </a:solidFill>
              <a:ln w="15875">
                <a:solidFill>
                  <a:schemeClr val="bg1"/>
                </a:solidFill>
              </a:ln>
              <a:effectLst/>
              <a:scene3d>
                <a:camera prst="orthographicFront"/>
                <a:lightRig rig="threePt" dir="t"/>
              </a:scene3d>
              <a:sp3d contourW="15875"/>
            </c:spPr>
          </c:dPt>
          <c:dPt>
            <c:idx val="2"/>
            <c:bubble3D val="0"/>
            <c:spPr>
              <a:solidFill>
                <a:schemeClr val="accent3">
                  <a:shade val="76667"/>
                </a:schemeClr>
              </a:solidFill>
              <a:ln w="15875">
                <a:solidFill>
                  <a:schemeClr val="bg1"/>
                </a:solidFill>
              </a:ln>
              <a:effectLst/>
              <a:scene3d>
                <a:camera prst="orthographicFront"/>
                <a:lightRig rig="threePt" dir="t"/>
              </a:scene3d>
              <a:sp3d contourW="15875"/>
            </c:spPr>
          </c:dPt>
          <c:dPt>
            <c:idx val="3"/>
            <c:bubble3D val="0"/>
            <c:spPr>
              <a:solidFill>
                <a:schemeClr val="accent4">
                  <a:shade val="76667"/>
                </a:schemeClr>
              </a:solidFill>
              <a:ln w="15875">
                <a:solidFill>
                  <a:schemeClr val="bg1"/>
                </a:solidFill>
              </a:ln>
              <a:effectLst/>
              <a:scene3d>
                <a:camera prst="orthographicFront"/>
                <a:lightRig rig="threePt" dir="t"/>
              </a:scene3d>
              <a:sp3d contourW="15875"/>
            </c:spPr>
          </c:dPt>
          <c:dLbls>
            <c:numFmt formatCode="General" sourceLinked="1"/>
            <c:spPr>
              <a:noFill/>
              <a:ln w="6350"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 forceAA="0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微软雅黑" panose="020B0503020204020204" charset="-122"/>
                    <a:ea typeface="微软雅黑" panose="020B0503020204020204" charset="-122"/>
                    <a:cs typeface="微软雅黑" panose="020B0503020204020204" charset="-122"/>
                    <a:sym typeface="微软雅黑" panose="020B0503020204020204" charset="-122"/>
                  </a:defRPr>
                </a:pPr>
              </a:p>
            </c:txPr>
            <c:dLblPos val="outEnd"/>
            <c:showLegendKey val="0"/>
            <c:showVal val="1"/>
            <c:showCatName val="1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本年支出合计</c:v>
                </c:pt>
                <c:pt idx="1">
                  <c:v>2022基本支出</c:v>
                </c:pt>
                <c:pt idx="2">
                  <c:v>比上年 增加</c:v>
                </c:pt>
                <c:pt idx="3">
                  <c:v>2023基本支出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1864.52</c:v>
                </c:pt>
                <c:pt idx="1">
                  <c:v>1735.58</c:v>
                </c:pt>
                <c:pt idx="2">
                  <c:v>129.14</c:v>
                </c:pt>
                <c:pt idx="3">
                  <c:v>1864.52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</c:pie3DChart>
      <c:spPr>
        <a:noFill/>
        <a:ln>
          <a:noFill/>
        </a:ln>
        <a:effectLst/>
      </c:spPr>
    </c:plotArea>
    <c:plotVisOnly val="1"/>
    <c:dispBlanksAs val="gap"/>
    <c:showDLblsOverMax val="0"/>
    <c:extLst>
      <c:ext uri="{0b15fc19-7d7d-44ad-8c2d-2c3a37ce22c3}">
        <chartProps xmlns="https://web.wps.cn/et/2018/main" chartId="{0513e989-e9fa-451c-88aa-0e6f9fdd2c7a}"/>
      </c:ext>
    </c:extLst>
  </c:chart>
  <c:spPr>
    <a:solidFill>
      <a:schemeClr val="bg1"/>
    </a:solidFill>
    <a:ln w="6350" cap="flat" cmpd="sng" algn="ctr">
      <a:solidFill>
        <a:schemeClr val="tx1">
          <a:lumMod val="50000"/>
          <a:lumOff val="50000"/>
          <a:alpha val="25000"/>
        </a:schemeClr>
      </a:solidFill>
      <a:prstDash val="solid"/>
      <a:round/>
    </a:ln>
    <a:effectLst>
      <a:outerShdw blurRad="63500" dist="37357" dir="2700000" sx="0" sy="0" rotWithShape="0">
        <a:scrgbClr r="0" g="0" b="0"/>
      </a:outerShdw>
    </a:effectLst>
  </c:spPr>
  <c:txPr>
    <a:bodyPr/>
    <a:lstStyle/>
    <a:p>
      <a:pPr>
        <a:defRPr lang="zh-CN">
          <a:solidFill>
            <a:schemeClr val="tx1">
              <a:lumMod val="75000"/>
              <a:lumOff val="25000"/>
            </a:schemeClr>
          </a:solidFill>
          <a:latin typeface="微软雅黑" panose="020B0503020204020204" charset="-122"/>
          <a:ea typeface="微软雅黑" panose="020B0503020204020204" charset="-122"/>
          <a:cs typeface="微软雅黑" panose="020B0503020204020204" charset="-122"/>
          <a:sym typeface="微软雅黑" panose="020B0503020204020204" charset="-122"/>
        </a:defRPr>
      </a:pPr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0" vertOverflow="ellipsis" vert="horz" wrap="square" anchor="ctr" anchorCtr="1"/>
          <a:lstStyle/>
          <a:p>
            <a:pPr defTabSz="914400">
              <a:defRPr lang="zh-CN" sz="1400" b="1" i="0" u="none" strike="noStrike" kern="1200" baseline="0">
                <a:solidFill>
                  <a:schemeClr val="tx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t>财政拨款收入支出总体情况</a:t>
            </a:r>
          </a:p>
        </c:rich>
      </c:tx>
      <c:layout>
        <c:manualLayout>
          <c:xMode val="edge"/>
          <c:yMode val="edge"/>
          <c:x val="0.0192056441076561"/>
          <c:y val="0.0308710033076075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0900312532791253"/>
          <c:y val="0.180255753587582"/>
          <c:w val="0.873734694843312"/>
          <c:h val="0.686161352212451"/>
        </c:manualLayout>
      </c:layout>
      <c:barChart>
        <c:barDir val="col"/>
        <c:grouping val="clustered"/>
        <c:varyColors val="0"/>
        <c:ser>
          <c:idx val="3"/>
          <c:order val="0"/>
          <c:tx>
            <c:strRef>
              <c:f>Sheet1!$B$1</c:f>
              <c:strCache>
                <c:ptCount val="1"/>
                <c:pt idx="0">
                  <c:v>2023 年度财政拨款收、支总计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Sheet1!$B$2</c:f>
              <c:numCache>
                <c:formatCode>General</c:formatCode>
                <c:ptCount val="1"/>
                <c:pt idx="0">
                  <c:v>1864.38</c:v>
                </c:pt>
              </c:numCache>
            </c:numRef>
          </c:val>
        </c:ser>
        <c:ser>
          <c:idx val="4"/>
          <c:order val="1"/>
          <c:tx>
            <c:strRef>
              <c:f>Sheet1!$C$1</c:f>
              <c:strCache>
                <c:ptCount val="1"/>
                <c:pt idx="0">
                  <c:v>2022年度财政拨款收、支总计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Sheet1!$C$2</c:f>
              <c:numCache>
                <c:formatCode>#,##0.00</c:formatCode>
                <c:ptCount val="1"/>
                <c:pt idx="0">
                  <c:v>1735.27</c:v>
                </c:pt>
              </c:numCache>
            </c:numRef>
          </c:val>
        </c:ser>
        <c:ser>
          <c:idx val="0"/>
          <c:order val="2"/>
          <c:tx>
            <c:strRef>
              <c:f>Sheet1!$D$1</c:f>
              <c:strCache>
                <c:ptCount val="1"/>
                <c:pt idx="0">
                  <c:v>2022年度财政拨款收、支总计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Sheet1!$D$2</c:f>
              <c:numCache>
                <c:formatCode>General</c:formatCode>
                <c:ptCount val="1"/>
                <c:pt idx="0">
                  <c:v>129.11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246"/>
        <c:overlap val="-28"/>
        <c:axId val="388732290"/>
        <c:axId val="165567901"/>
      </c:barChart>
      <c:catAx>
        <c:axId val="388732290"/>
        <c:scaling>
          <c:orientation val="minMax"/>
        </c:scaling>
        <c:delete val="0"/>
        <c:axPos val="b"/>
        <c:numFmt formatCode="General" sourceLinked="1"/>
        <c:majorTickMark val="in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0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</a:p>
        </c:txPr>
        <c:crossAx val="165567901"/>
        <c:crosses val="autoZero"/>
        <c:auto val="1"/>
        <c:lblAlgn val="ctr"/>
        <c:lblOffset val="100"/>
        <c:noMultiLvlLbl val="0"/>
      </c:catAx>
      <c:valAx>
        <c:axId val="165567901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02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0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</a:p>
        </c:txPr>
        <c:crossAx val="38873229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0819038415076105"/>
          <c:y val="0.868226600985222"/>
          <c:w val="0.906015945880647"/>
          <c:h val="0.125615763546798"/>
        </c:manualLayout>
      </c:layout>
      <c:overlay val="0"/>
      <c:spPr>
        <a:noFill/>
        <a:ln>
          <a:noFill/>
        </a:ln>
        <a:effectLst/>
      </c:spPr>
      <c:txPr>
        <a:bodyPr rot="0" spcFirstLastPara="0" vertOverflow="ellipsis" vert="horz" wrap="square" anchor="ctr" anchorCtr="1"/>
        <a:lstStyle/>
        <a:p>
          <a:pPr>
            <a:defRPr lang="zh-CN"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eca600b2-c631-49e2-8f45-65e5dfee8a11}"/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0" vertOverflow="ellipsis" vert="horz" wrap="square" anchor="ctr" anchorCtr="1" forceAA="0"/>
          <a:lstStyle/>
          <a:p>
            <a:pPr defTabSz="914400">
              <a:defRPr lang="zh-CN" sz="1400" b="1" i="0" u="none" strike="noStrike" kern="1200" spc="0" baseline="0">
                <a:solidFill>
                  <a:schemeClr val="tx1">
                    <a:lumMod val="75000"/>
                    <a:lumOff val="25000"/>
                  </a:schemeClr>
                </a:solidFill>
                <a:latin typeface="微软雅黑" panose="020B0503020204020204" charset="-122"/>
                <a:ea typeface="微软雅黑" panose="020B0503020204020204" charset="-122"/>
                <a:cs typeface="微软雅黑" panose="020B0503020204020204" charset="-122"/>
                <a:sym typeface="微软雅黑" panose="020B0503020204020204" charset="-122"/>
              </a:defRPr>
            </a:pPr>
            <a:r>
              <a:t>一般公共预算财政拨款支出总体情况</a:t>
            </a: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0981691834825609"/>
          <c:y val="0.268844781445138"/>
          <c:w val="0.847975410931445"/>
          <c:h val="0.60992417484388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2022 年度一般公共预算财政拨款支出</c:v>
                </c:pt>
              </c:strCache>
            </c:strRef>
          </c:tx>
          <c:spPr>
            <a:gradFill>
              <a:gsLst>
                <a:gs pos="0">
                  <a:srgbClr val="EE5596"/>
                </a:gs>
                <a:gs pos="100000">
                  <a:srgbClr val="F9B621"/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微软雅黑" panose="020B0503020204020204" charset="-122"/>
                    <a:ea typeface="微软雅黑" panose="020B0503020204020204" charset="-122"/>
                    <a:cs typeface="微软雅黑" panose="020B0503020204020204" charset="-122"/>
                    <a:sym typeface="微软雅黑" panose="020B0503020204020204" charset="-122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Sheet1!$B$2</c:f>
              <c:numCache>
                <c:formatCode>#,##0.00</c:formatCode>
                <c:ptCount val="1"/>
                <c:pt idx="0">
                  <c:v>1735.27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2023 年度一般公共预算财政拨款支出</c:v>
                </c:pt>
              </c:strCache>
            </c:strRef>
          </c:tx>
          <c:spPr>
            <a:gradFill>
              <a:gsLst>
                <a:gs pos="0">
                  <a:srgbClr val="6E6FFA"/>
                </a:gs>
                <a:gs pos="100000">
                  <a:srgbClr val="07E3EE"/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微软雅黑" panose="020B0503020204020204" charset="-122"/>
                    <a:ea typeface="微软雅黑" panose="020B0503020204020204" charset="-122"/>
                    <a:cs typeface="微软雅黑" panose="020B0503020204020204" charset="-122"/>
                    <a:sym typeface="微软雅黑" panose="020B0503020204020204" charset="-122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Sheet1!$C$2</c:f>
              <c:numCache>
                <c:formatCode>#,##0.00</c:formatCode>
                <c:ptCount val="1"/>
                <c:pt idx="0">
                  <c:v>1864.38</c:v>
                </c:pt>
              </c:numCache>
            </c:numRef>
          </c:val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一般公共预算财政拨款支 出减少</c:v>
                </c:pt>
              </c:strCache>
            </c:strRef>
          </c:tx>
          <c:spPr>
            <a:gradFill>
              <a:gsLst>
                <a:gs pos="0">
                  <a:srgbClr val="8DDE03"/>
                </a:gs>
                <a:gs pos="100000">
                  <a:srgbClr val="DCDB06"/>
                </a:gs>
              </a:gsLst>
              <a:lin ang="5400000" scaled="0"/>
            </a:gra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微软雅黑" panose="020B0503020204020204" charset="-122"/>
                    <a:ea typeface="微软雅黑" panose="020B0503020204020204" charset="-122"/>
                    <a:cs typeface="微软雅黑" panose="020B0503020204020204" charset="-122"/>
                    <a:sym typeface="微软雅黑" panose="020B0503020204020204" charset="-122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Sheet1!$D$2</c:f>
              <c:numCache>
                <c:formatCode>General</c:formatCode>
                <c:ptCount val="1"/>
                <c:pt idx="0">
                  <c:v>129.11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57624853"/>
        <c:axId val="848765059"/>
      </c:barChart>
      <c:catAx>
        <c:axId val="657624853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bg1">
                  <a:lumMod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0" vertOverflow="ellipsis" vert="horz" wrap="square" anchor="ctr" anchorCtr="1" forceAA="0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75000"/>
                    <a:lumOff val="25000"/>
                  </a:schemeClr>
                </a:solidFill>
                <a:latin typeface="微软雅黑" panose="020B0503020204020204" charset="-122"/>
                <a:ea typeface="微软雅黑" panose="020B0503020204020204" charset="-122"/>
                <a:cs typeface="微软雅黑" panose="020B0503020204020204" charset="-122"/>
                <a:sym typeface="微软雅黑" panose="020B0503020204020204" charset="-122"/>
              </a:defRPr>
            </a:pPr>
          </a:p>
        </c:txPr>
        <c:crossAx val="848765059"/>
        <c:crosses val="autoZero"/>
        <c:auto val="1"/>
        <c:lblAlgn val="ctr"/>
        <c:lblOffset val="100"/>
        <c:noMultiLvlLbl val="0"/>
      </c:catAx>
      <c:valAx>
        <c:axId val="848765059"/>
        <c:scaling>
          <c:orientation val="minMax"/>
        </c:scaling>
        <c:delete val="0"/>
        <c:axPos val="l"/>
        <c:numFmt formatCode="#,##0.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0" vertOverflow="ellipsis" vert="horz" wrap="square" anchor="ctr" anchorCtr="1" forceAA="0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75000"/>
                    <a:lumOff val="25000"/>
                  </a:schemeClr>
                </a:solidFill>
                <a:latin typeface="微软雅黑" panose="020B0503020204020204" charset="-122"/>
                <a:ea typeface="微软雅黑" panose="020B0503020204020204" charset="-122"/>
                <a:cs typeface="微软雅黑" panose="020B0503020204020204" charset="-122"/>
                <a:sym typeface="微软雅黑" panose="020B0503020204020204" charset="-122"/>
              </a:defRPr>
            </a:pPr>
          </a:p>
        </c:txPr>
        <c:crossAx val="657624853"/>
        <c:crosses val="autoZero"/>
        <c:crossBetween val="between"/>
      </c:valAx>
      <c:spPr>
        <a:noFill/>
        <a:ln>
          <a:solidFill>
            <a:schemeClr val="bg1">
              <a:lumMod val="85000"/>
            </a:schemeClr>
          </a:solidFill>
        </a:ln>
        <a:effectLst/>
      </c:spPr>
    </c:plotArea>
    <c:legend>
      <c:legendPos val="t"/>
      <c:layout/>
      <c:overlay val="0"/>
      <c:spPr>
        <a:noFill/>
        <a:ln>
          <a:noFill/>
        </a:ln>
        <a:effectLst/>
      </c:spPr>
      <c:txPr>
        <a:bodyPr rot="0" spcFirstLastPara="0" vertOverflow="ellipsis" vert="horz" wrap="square" anchor="ctr" anchorCtr="1" forceAA="0"/>
        <a:lstStyle/>
        <a:p>
          <a:pPr>
            <a:defRPr lang="zh-CN" sz="900" b="0" i="0" u="none" strike="noStrike" kern="1200" baseline="0">
              <a:solidFill>
                <a:schemeClr val="tx1">
                  <a:lumMod val="75000"/>
                  <a:lumOff val="25000"/>
                </a:schemeClr>
              </a:solidFill>
              <a:latin typeface="微软雅黑" panose="020B0503020204020204" charset="-122"/>
              <a:ea typeface="微软雅黑" panose="020B0503020204020204" charset="-122"/>
              <a:cs typeface="微软雅黑" panose="020B0503020204020204" charset="-122"/>
              <a:sym typeface="微软雅黑" panose="020B0503020204020204" charset="-122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fbf4c46d-0995-47b1-8e58-8b903a1444e1}"/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>
      <a:outerShdw blurRad="63500" dist="37357" dir="2700000" sx="0" sy="0" rotWithShape="0">
        <a:scrgbClr r="0" g="0" b="0"/>
      </a:outerShdw>
    </a:effectLst>
  </c:spPr>
  <c:txPr>
    <a:bodyPr/>
    <a:lstStyle/>
    <a:p>
      <a:pPr>
        <a:defRPr lang="zh-CN">
          <a:solidFill>
            <a:schemeClr val="tx1">
              <a:lumMod val="75000"/>
              <a:lumOff val="25000"/>
            </a:schemeClr>
          </a:solidFill>
          <a:latin typeface="微软雅黑" panose="020B0503020204020204" charset="-122"/>
          <a:ea typeface="微软雅黑" panose="020B0503020204020204" charset="-122"/>
          <a:cs typeface="微软雅黑" panose="020B0503020204020204" charset="-122"/>
          <a:sym typeface="微软雅黑" panose="020B0503020204020204" charset="-122"/>
        </a:defRPr>
      </a:pPr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0" vertOverflow="ellipsis" vert="horz" wrap="square" anchor="ctr" anchorCtr="1" forceAA="0"/>
          <a:lstStyle/>
          <a:p>
            <a:pPr defTabSz="914400">
              <a:defRPr lang="zh-CN" sz="1400" b="0" i="0" u="none" strike="noStrike" kern="1200" baseline="0">
                <a:solidFill>
                  <a:schemeClr val="tx1">
                    <a:lumMod val="75000"/>
                    <a:lumOff val="25000"/>
                  </a:schemeClr>
                </a:solidFill>
                <a:latin typeface="微软雅黑" panose="020B0503020204020204" charset="-122"/>
                <a:ea typeface="微软雅黑" panose="020B0503020204020204" charset="-122"/>
                <a:cs typeface="微软雅黑" panose="020B0503020204020204" charset="-122"/>
                <a:sym typeface="微软雅黑" panose="020B0503020204020204" charset="-122"/>
              </a:defRPr>
            </a:pPr>
            <a:r>
              <a:t>一般公共预算财政拨款支出结构</a:t>
            </a: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view3D>
      <c:rotX val="30"/>
      <c:rotY val="0"/>
      <c:depthPercent val="10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销售额</c:v>
                </c:pt>
              </c:strCache>
            </c:strRef>
          </c:tx>
          <c:spPr>
            <a:ln w="15875">
              <a:solidFill>
                <a:schemeClr val="bg1"/>
              </a:solidFill>
            </a:ln>
            <a:effectLst/>
            <a:scene3d>
              <a:camera prst="orthographicFront"/>
              <a:lightRig rig="threePt" dir="t"/>
            </a:scene3d>
            <a:sp3d contourW="15875"/>
          </c:spPr>
          <c:explosion val="0"/>
          <c:dPt>
            <c:idx val="0"/>
            <c:bubble3D val="0"/>
            <c:spPr>
              <a:solidFill>
                <a:schemeClr val="accent1">
                  <a:shade val="76667"/>
                </a:schemeClr>
              </a:solidFill>
              <a:ln w="15875">
                <a:solidFill>
                  <a:schemeClr val="bg1"/>
                </a:solidFill>
              </a:ln>
              <a:effectLst/>
              <a:scene3d>
                <a:camera prst="orthographicFront"/>
                <a:lightRig rig="threePt" dir="t"/>
              </a:scene3d>
              <a:sp3d contourW="15875"/>
            </c:spPr>
          </c:dPt>
          <c:dPt>
            <c:idx val="1"/>
            <c:bubble3D val="0"/>
            <c:spPr>
              <a:solidFill>
                <a:schemeClr val="accent2">
                  <a:shade val="76667"/>
                </a:schemeClr>
              </a:solidFill>
              <a:ln w="15875">
                <a:solidFill>
                  <a:schemeClr val="bg1"/>
                </a:solidFill>
              </a:ln>
              <a:effectLst/>
              <a:scene3d>
                <a:camera prst="orthographicFront"/>
                <a:lightRig rig="threePt" dir="t"/>
              </a:scene3d>
              <a:sp3d contourW="15875"/>
            </c:spPr>
          </c:dPt>
          <c:dPt>
            <c:idx val="2"/>
            <c:bubble3D val="0"/>
            <c:spPr>
              <a:solidFill>
                <a:schemeClr val="accent3">
                  <a:shade val="76667"/>
                </a:schemeClr>
              </a:solidFill>
              <a:ln w="15875">
                <a:solidFill>
                  <a:schemeClr val="bg1"/>
                </a:solidFill>
              </a:ln>
              <a:effectLst/>
              <a:scene3d>
                <a:camera prst="orthographicFront"/>
                <a:lightRig rig="threePt" dir="t"/>
              </a:scene3d>
              <a:sp3d contourW="15875"/>
            </c:spPr>
          </c:dPt>
          <c:dPt>
            <c:idx val="3"/>
            <c:bubble3D val="0"/>
            <c:spPr>
              <a:solidFill>
                <a:schemeClr val="accent4">
                  <a:shade val="76667"/>
                </a:schemeClr>
              </a:solidFill>
              <a:ln w="15875">
                <a:solidFill>
                  <a:schemeClr val="bg1"/>
                </a:solidFill>
              </a:ln>
              <a:effectLst/>
              <a:scene3d>
                <a:camera prst="orthographicFront"/>
                <a:lightRig rig="threePt" dir="t"/>
              </a:scene3d>
              <a:sp3d contourW="15875"/>
            </c:spPr>
          </c:dPt>
          <c:dLbls>
            <c:numFmt formatCode="General" sourceLinked="1"/>
            <c:spPr>
              <a:noFill/>
              <a:ln w="6350"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 forceAA="0"/>
              <a:lstStyle/>
              <a:p>
                <a:pPr>
                  <a:defRPr lang="zh-CN"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微软雅黑" panose="020B0503020204020204" charset="-122"/>
                    <a:ea typeface="微软雅黑" panose="020B0503020204020204" charset="-122"/>
                    <a:cs typeface="微软雅黑" panose="020B0503020204020204" charset="-122"/>
                    <a:sym typeface="微软雅黑" panose="020B0503020204020204" charset="-122"/>
                  </a:defRPr>
                </a:pPr>
              </a:p>
            </c:txPr>
            <c:dLblPos val="outEnd"/>
            <c:showLegendKey val="0"/>
            <c:showVal val="1"/>
            <c:showCatName val="1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prstDash val="solid"/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教育支出</c:v>
                </c:pt>
                <c:pt idx="1">
                  <c:v>社会保障和就业支出</c:v>
                </c:pt>
                <c:pt idx="2">
                  <c:v>卫生健康支出</c:v>
                </c:pt>
                <c:pt idx="3">
                  <c:v>住房保障支出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1330.78</c:v>
                </c:pt>
                <c:pt idx="1">
                  <c:v>361.97</c:v>
                </c:pt>
                <c:pt idx="2">
                  <c:v>73.22</c:v>
                </c:pt>
                <c:pt idx="3">
                  <c:v>99.31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</c:pie3DChart>
      <c:spPr>
        <a:noFill/>
        <a:ln>
          <a:noFill/>
        </a:ln>
        <a:effectLst/>
      </c:spPr>
    </c:plotArea>
    <c:plotVisOnly val="1"/>
    <c:dispBlanksAs val="gap"/>
    <c:showDLblsOverMax val="0"/>
    <c:extLst>
      <c:ext uri="{0b15fc19-7d7d-44ad-8c2d-2c3a37ce22c3}">
        <chartProps xmlns="https://web.wps.cn/et/2018/main" chartId="{c014d37f-fda1-4bcd-add5-4d6a873e8772}"/>
      </c:ext>
    </c:extLst>
  </c:chart>
  <c:spPr>
    <a:solidFill>
      <a:schemeClr val="bg1"/>
    </a:solidFill>
    <a:ln w="6350" cap="flat" cmpd="sng" algn="ctr">
      <a:solidFill>
        <a:schemeClr val="tx1">
          <a:lumMod val="50000"/>
          <a:lumOff val="50000"/>
          <a:alpha val="25000"/>
        </a:schemeClr>
      </a:solidFill>
      <a:prstDash val="solid"/>
      <a:round/>
    </a:ln>
    <a:effectLst>
      <a:outerShdw blurRad="63500" dist="37357" dir="2700000" sx="0" sy="0" rotWithShape="0">
        <a:scrgbClr r="0" g="0" b="0"/>
      </a:outerShdw>
    </a:effectLst>
  </c:spPr>
  <c:txPr>
    <a:bodyPr/>
    <a:lstStyle/>
    <a:p>
      <a:pPr>
        <a:defRPr lang="zh-CN">
          <a:solidFill>
            <a:schemeClr val="tx1">
              <a:lumMod val="75000"/>
              <a:lumOff val="25000"/>
            </a:schemeClr>
          </a:solidFill>
          <a:latin typeface="微软雅黑" panose="020B0503020204020204" charset="-122"/>
          <a:ea typeface="微软雅黑" panose="020B0503020204020204" charset="-122"/>
          <a:cs typeface="微软雅黑" panose="020B0503020204020204" charset="-122"/>
          <a:sym typeface="微软雅黑" panose="020B0503020204020204" charset="-122"/>
        </a:defRPr>
      </a:pPr>
    </a:p>
  </c:txPr>
  <c:externalData r:id="rId1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100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0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0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1">
      <cs:styleClr val="auto"/>
    </cs:fillRef>
    <cs:effectRef idx="0"/>
    <cs:fontRef idx="minor">
      <a:schemeClr val="dk1"/>
    </cs:fontRef>
    <cs:spPr>
      <a:ln>
        <a:noFill/>
      </a:ln>
      <a:effectLst/>
    </cs:spPr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02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75000"/>
        <a:lumOff val="25000"/>
      </a:schemeClr>
    </cs:fontRef>
    <cs:defRPr sz="1400" b="1" kern="120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100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10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10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1">
      <cs:styleClr val="auto"/>
    </cs:fillRef>
    <cs:effectRef idx="0"/>
    <cs:fontRef idx="minor">
      <a:schemeClr val="dk1"/>
    </cs:fontRef>
    <cs:spPr>
      <a:ln>
        <a:noFill/>
      </a:ln>
      <a:effectLst/>
    </cs:spPr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lt1">
            <a:lumMod val="902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75000"/>
        <a:lumOff val="25000"/>
      </a:schemeClr>
    </cs:fontRef>
    <cs:defRPr sz="1400" b="1" kern="120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25</Pages>
  <Words>5769</Words>
  <Characters>6221</Characters>
  <TotalTime>44</TotalTime>
  <ScaleCrop>false</ScaleCrop>
  <LinksUpToDate>false</LinksUpToDate>
  <CharactersWithSpaces>6763</CharactersWithSpaces>
  <Application>WPS Office_12.1.0.18608_F1E327BC-269C-435d-A152-05C5408002CA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2024-08-07T08:54:00Z</dcterms:created>
  <dc:creator>王志强</dc:creator>
  <cp:lastModifiedBy>握不住的沙</cp:lastModifiedBy>
  <cp:lastPrinted>2024-08-26T08:47:00Z</cp:lastPrinted>
  <dcterms:modified xsi:type="dcterms:W3CDTF">2024-10-29T03:15:44Z</dcterms:modified>
  <dc:title>2015年度部门决算公开模板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2024-08-26T15:58:15Z</vt:filetime>
  </property>
  <property fmtid="{D5CDD505-2E9C-101B-9397-08002B2CF9AE}" pid="4" name="KSOProductBuildVer">
    <vt:lpwstr>2052-12.1.0.18608</vt:lpwstr>
  </property>
  <property fmtid="{D5CDD505-2E9C-101B-9397-08002B2CF9AE}" pid="5" name="ICV">
    <vt:lpwstr>BF7D3F3887DE4C00B5A203028900D5AF_13</vt:lpwstr>
  </property>
</Properties>
</file>