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605B8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5194875A">
      <w:pPr>
        <w:pStyle w:val="2"/>
        <w:spacing w:line="251" w:lineRule="auto"/>
      </w:pPr>
    </w:p>
    <w:p w14:paraId="15A7E154">
      <w:pPr>
        <w:pStyle w:val="2"/>
        <w:spacing w:line="251" w:lineRule="auto"/>
      </w:pPr>
    </w:p>
    <w:p w14:paraId="10B84B7C">
      <w:pPr>
        <w:pStyle w:val="2"/>
        <w:spacing w:line="252" w:lineRule="auto"/>
      </w:pPr>
    </w:p>
    <w:p w14:paraId="751C39D1">
      <w:pPr>
        <w:pStyle w:val="2"/>
        <w:spacing w:line="252" w:lineRule="auto"/>
      </w:pPr>
    </w:p>
    <w:p w14:paraId="0561FA4A">
      <w:pPr>
        <w:pStyle w:val="2"/>
        <w:spacing w:line="252" w:lineRule="auto"/>
      </w:pPr>
    </w:p>
    <w:p w14:paraId="5B1007C2">
      <w:pPr>
        <w:pStyle w:val="2"/>
        <w:spacing w:line="252" w:lineRule="auto"/>
      </w:pPr>
    </w:p>
    <w:p w14:paraId="5CF92D06">
      <w:pPr>
        <w:pStyle w:val="2"/>
        <w:spacing w:line="252" w:lineRule="auto"/>
      </w:pPr>
    </w:p>
    <w:p w14:paraId="54126FE2">
      <w:pPr>
        <w:pStyle w:val="2"/>
        <w:spacing w:line="252" w:lineRule="auto"/>
      </w:pPr>
    </w:p>
    <w:p w14:paraId="1019F954">
      <w:pPr>
        <w:pStyle w:val="2"/>
        <w:spacing w:line="252" w:lineRule="auto"/>
      </w:pPr>
    </w:p>
    <w:p w14:paraId="3A71A31C">
      <w:pPr>
        <w:pStyle w:val="2"/>
        <w:spacing w:line="252" w:lineRule="auto"/>
      </w:pPr>
    </w:p>
    <w:p w14:paraId="115B7AA1">
      <w:pPr>
        <w:pStyle w:val="2"/>
        <w:spacing w:line="252" w:lineRule="auto"/>
      </w:pPr>
    </w:p>
    <w:p w14:paraId="5245FB85">
      <w:pPr>
        <w:pStyle w:val="2"/>
        <w:spacing w:line="252" w:lineRule="auto"/>
      </w:pPr>
    </w:p>
    <w:p w14:paraId="4CAA1137">
      <w:pPr>
        <w:pStyle w:val="2"/>
        <w:spacing w:line="252" w:lineRule="auto"/>
      </w:pPr>
    </w:p>
    <w:p w14:paraId="492350E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337A094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2DEB44F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榆树市</w:t>
      </w: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新民学校</w:t>
      </w:r>
    </w:p>
    <w:p w14:paraId="2018B6C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011F7500">
      <w:pPr>
        <w:pStyle w:val="2"/>
        <w:spacing w:line="242" w:lineRule="auto"/>
      </w:pPr>
    </w:p>
    <w:p w14:paraId="688A0D8F">
      <w:pPr>
        <w:pStyle w:val="2"/>
        <w:spacing w:line="242" w:lineRule="auto"/>
      </w:pPr>
    </w:p>
    <w:p w14:paraId="4B97BCBB">
      <w:pPr>
        <w:pStyle w:val="2"/>
        <w:spacing w:line="242" w:lineRule="auto"/>
      </w:pPr>
    </w:p>
    <w:p w14:paraId="602D776A">
      <w:pPr>
        <w:pStyle w:val="2"/>
        <w:spacing w:line="242" w:lineRule="auto"/>
      </w:pPr>
    </w:p>
    <w:p w14:paraId="4E83DC17">
      <w:pPr>
        <w:pStyle w:val="2"/>
        <w:spacing w:line="242" w:lineRule="auto"/>
      </w:pPr>
    </w:p>
    <w:p w14:paraId="1620C15D">
      <w:pPr>
        <w:pStyle w:val="2"/>
        <w:spacing w:line="242" w:lineRule="auto"/>
      </w:pPr>
    </w:p>
    <w:p w14:paraId="22060816">
      <w:pPr>
        <w:pStyle w:val="2"/>
        <w:spacing w:line="242" w:lineRule="auto"/>
      </w:pPr>
    </w:p>
    <w:p w14:paraId="3169FF9E">
      <w:pPr>
        <w:pStyle w:val="2"/>
        <w:spacing w:line="242" w:lineRule="auto"/>
      </w:pPr>
    </w:p>
    <w:p w14:paraId="5DB4A9D3">
      <w:pPr>
        <w:pStyle w:val="2"/>
        <w:spacing w:line="242" w:lineRule="auto"/>
      </w:pPr>
    </w:p>
    <w:p w14:paraId="6188A247">
      <w:pPr>
        <w:pStyle w:val="2"/>
        <w:spacing w:line="242" w:lineRule="auto"/>
      </w:pPr>
    </w:p>
    <w:p w14:paraId="1FD5DBB4">
      <w:pPr>
        <w:pStyle w:val="2"/>
        <w:spacing w:line="242" w:lineRule="auto"/>
      </w:pPr>
    </w:p>
    <w:p w14:paraId="7123FAD4">
      <w:pPr>
        <w:pStyle w:val="2"/>
        <w:spacing w:line="243" w:lineRule="auto"/>
      </w:pPr>
    </w:p>
    <w:p w14:paraId="21CC0D71">
      <w:pPr>
        <w:pStyle w:val="2"/>
        <w:spacing w:line="243" w:lineRule="auto"/>
      </w:pPr>
    </w:p>
    <w:p w14:paraId="3D1B397E">
      <w:pPr>
        <w:pStyle w:val="2"/>
        <w:spacing w:line="243" w:lineRule="auto"/>
      </w:pPr>
    </w:p>
    <w:p w14:paraId="5D492978">
      <w:pPr>
        <w:pStyle w:val="2"/>
        <w:spacing w:line="243" w:lineRule="auto"/>
      </w:pPr>
    </w:p>
    <w:p w14:paraId="5A77C529">
      <w:pPr>
        <w:pStyle w:val="2"/>
        <w:spacing w:line="243" w:lineRule="auto"/>
      </w:pPr>
    </w:p>
    <w:p w14:paraId="1C0BF8D0">
      <w:pPr>
        <w:pStyle w:val="2"/>
        <w:spacing w:line="243" w:lineRule="auto"/>
      </w:pPr>
    </w:p>
    <w:p w14:paraId="1D37A28E">
      <w:pPr>
        <w:pStyle w:val="2"/>
        <w:spacing w:line="243" w:lineRule="auto"/>
      </w:pPr>
    </w:p>
    <w:p w14:paraId="26278C3F">
      <w:pPr>
        <w:pStyle w:val="2"/>
        <w:spacing w:line="243" w:lineRule="auto"/>
      </w:pPr>
    </w:p>
    <w:p w14:paraId="0C8C7B8D">
      <w:pPr>
        <w:pStyle w:val="2"/>
        <w:spacing w:line="243" w:lineRule="auto"/>
      </w:pPr>
    </w:p>
    <w:p w14:paraId="1ED6914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年 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 月 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25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 日</w:t>
      </w:r>
    </w:p>
    <w:p w14:paraId="2EC7DF8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8DC17AE">
      <w:pPr>
        <w:pStyle w:val="2"/>
        <w:spacing w:line="289" w:lineRule="auto"/>
      </w:pPr>
    </w:p>
    <w:p w14:paraId="66B1449F">
      <w:pPr>
        <w:pStyle w:val="2"/>
        <w:spacing w:line="290" w:lineRule="auto"/>
      </w:pPr>
    </w:p>
    <w:p w14:paraId="3635358B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27B55C5A">
      <w:pPr>
        <w:pStyle w:val="2"/>
        <w:spacing w:line="341" w:lineRule="auto"/>
      </w:pPr>
    </w:p>
    <w:p w14:paraId="183EC639">
      <w:pPr>
        <w:pStyle w:val="2"/>
        <w:spacing w:line="342" w:lineRule="auto"/>
      </w:pPr>
    </w:p>
    <w:p w14:paraId="22238942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7D1E52FC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5DB6AED2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548DECEB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15F2EAC2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3E6888F3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58649D7E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6E5537FC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45D4FDAA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12554B9C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07F5335F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28484FF4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4E593281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49738A68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47A5AD29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0BB8BDA4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61F0F718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440B545A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374D8597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62E2F485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DE47465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90EEEAD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2AE5EF9A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6F9D939D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66FA0E3A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10A05F20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4AD887C9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360DC758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027C68F4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53D766C">
      <w:pPr>
        <w:pStyle w:val="2"/>
        <w:spacing w:line="328" w:lineRule="auto"/>
      </w:pPr>
    </w:p>
    <w:p w14:paraId="696471FA">
      <w:pPr>
        <w:pStyle w:val="2"/>
        <w:spacing w:line="328" w:lineRule="auto"/>
      </w:pPr>
    </w:p>
    <w:p w14:paraId="00AC6016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69F4AA85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6134E371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5B152342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E4EB18B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2E25E0EB">
      <w:pPr>
        <w:pStyle w:val="2"/>
        <w:spacing w:line="347" w:lineRule="auto"/>
        <w:rPr>
          <w:rFonts w:hint="default" w:ascii="Times New Roman" w:hAnsi="Times New Roman" w:eastAsia="仿宋_GB2312" w:cs="Times New Roman"/>
        </w:rPr>
      </w:pPr>
    </w:p>
    <w:p w14:paraId="770E0AAC">
      <w:pPr>
        <w:spacing w:before="101" w:line="218" w:lineRule="exact"/>
        <w:ind w:left="102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8"/>
          <w:position w:val="-13"/>
          <w:sz w:val="31"/>
          <w:szCs w:val="31"/>
        </w:rPr>
        <w:t>……</w:t>
      </w:r>
    </w:p>
    <w:p w14:paraId="3106BE4D">
      <w:pPr>
        <w:ind w:firstLine="640" w:firstLineChars="200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（一）按照《中华人民共和国教育法》的有关要求，承担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初中</w:t>
      </w:r>
      <w:r>
        <w:rPr>
          <w:rStyle w:val="9"/>
          <w:rFonts w:hint="eastAsia" w:ascii="仿宋" w:hAnsi="仿宋" w:eastAsia="仿宋" w:cs="仿宋"/>
          <w:sz w:val="32"/>
          <w:szCs w:val="32"/>
        </w:rPr>
        <w:t>教育教学任务，实现其教育教学目标；负责对受教育者德、智、体、美、劳等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诸</w:t>
      </w:r>
      <w:r>
        <w:rPr>
          <w:rStyle w:val="9"/>
          <w:rFonts w:hint="eastAsia" w:ascii="仿宋" w:hAnsi="仿宋" w:eastAsia="仿宋" w:cs="仿宋"/>
          <w:sz w:val="32"/>
          <w:szCs w:val="32"/>
        </w:rPr>
        <w:t xml:space="preserve">方面进行系统教育、训练和培养；负责加强师资队伍建设，开展教职工思想政治教育、业务进修和教育科研活动，不断提高教职工队伍素质；负责管理学校校产、设备、经费等，努力改善办学条件。 </w:t>
      </w:r>
    </w:p>
    <w:p w14:paraId="21C0A5DC">
      <w:pPr>
        <w:ind w:firstLine="640" w:firstLineChars="200"/>
        <w:rPr>
          <w:rFonts w:hint="eastAsia" w:ascii="仿宋" w:hAnsi="仿宋" w:eastAsia="仿宋" w:cs="仿宋"/>
          <w:sz w:val="48"/>
          <w:szCs w:val="28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（二）完成市委、市政府交办的其他工作。</w:t>
      </w:r>
    </w:p>
    <w:p w14:paraId="48DFBE20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5BAF6D5A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根据上述职责，</w:t>
      </w:r>
      <w:r>
        <w:rPr>
          <w:rFonts w:hint="eastAsia" w:ascii="仿宋" w:hAnsi="仿宋" w:eastAsia="仿宋"/>
          <w:sz w:val="32"/>
          <w:szCs w:val="30"/>
          <w:lang w:eastAsia="zh-CN"/>
        </w:rPr>
        <w:t>榆树市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新民</w:t>
      </w:r>
      <w:r>
        <w:rPr>
          <w:rFonts w:hint="eastAsia" w:ascii="仿宋" w:hAnsi="仿宋" w:eastAsia="仿宋"/>
          <w:sz w:val="32"/>
          <w:szCs w:val="30"/>
          <w:lang w:eastAsia="zh-CN"/>
        </w:rPr>
        <w:t>学校无</w:t>
      </w:r>
      <w:r>
        <w:rPr>
          <w:rFonts w:hint="eastAsia" w:ascii="仿宋" w:hAnsi="仿宋" w:eastAsia="仿宋"/>
          <w:sz w:val="32"/>
        </w:rPr>
        <w:t>内设机构。</w:t>
      </w:r>
    </w:p>
    <w:p w14:paraId="67403F49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纳入</w:t>
      </w:r>
      <w:r>
        <w:rPr>
          <w:rFonts w:hint="eastAsia" w:ascii="仿宋" w:hAnsi="仿宋" w:eastAsia="仿宋"/>
          <w:sz w:val="32"/>
          <w:szCs w:val="30"/>
          <w:lang w:eastAsia="zh-CN"/>
        </w:rPr>
        <w:t>榆树市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新民</w:t>
      </w:r>
      <w:r>
        <w:rPr>
          <w:rFonts w:hint="eastAsia" w:ascii="仿宋" w:hAnsi="仿宋" w:eastAsia="仿宋"/>
          <w:sz w:val="32"/>
          <w:szCs w:val="30"/>
          <w:lang w:eastAsia="zh-CN"/>
        </w:rPr>
        <w:t>学校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</w:rPr>
        <w:t>度部门决算编制范围的单位包括：</w:t>
      </w:r>
    </w:p>
    <w:p w14:paraId="45343D23"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1.</w:t>
      </w:r>
      <w:r>
        <w:rPr>
          <w:rFonts w:hint="eastAsia" w:ascii="仿宋" w:hAnsi="仿宋" w:eastAsia="仿宋"/>
          <w:sz w:val="32"/>
          <w:szCs w:val="30"/>
          <w:lang w:eastAsia="zh-CN"/>
        </w:rPr>
        <w:t>榆树市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新民</w:t>
      </w:r>
      <w:r>
        <w:rPr>
          <w:rFonts w:hint="eastAsia" w:ascii="仿宋" w:hAnsi="仿宋" w:eastAsia="仿宋"/>
          <w:sz w:val="32"/>
          <w:szCs w:val="30"/>
          <w:lang w:eastAsia="zh-CN"/>
        </w:rPr>
        <w:t>学校</w:t>
      </w:r>
    </w:p>
    <w:p w14:paraId="42FB684D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2.……</w:t>
      </w:r>
    </w:p>
    <w:p w14:paraId="57ED1F0A">
      <w:pPr>
        <w:ind w:firstLine="640" w:firstLineChars="200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2"/>
        </w:rPr>
        <w:t>3.……</w:t>
      </w:r>
    </w:p>
    <w:p w14:paraId="4EC7AA7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1CB53D0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2D803E6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56D5FF6E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99A49F9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1D04E47E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4C6FFE1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647E8A9E">
      <w:pPr>
        <w:spacing w:before="101" w:line="5918" w:lineRule="exact"/>
        <w:ind w:firstLine="19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91455" cy="2579370"/>
            <wp:effectExtent l="0" t="0" r="4445" b="11430"/>
            <wp:docPr id="1" name="图片 1" descr="2023年度部门决算公开表样_g01收入支出决算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度部门决算公开表样_g01收入支出决算总表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7FB6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66AD11A4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11FCF5A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21D7DED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5DA94C37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7DAAE0E8">
      <w:pPr>
        <w:spacing w:before="209" w:line="5702" w:lineRule="exact"/>
        <w:ind w:firstLine="32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73040" cy="2258695"/>
            <wp:effectExtent l="0" t="0" r="3810" b="8255"/>
            <wp:docPr id="2" name="图片 2" descr="2023年度部门决算公开表样_g02收入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年度部门决算公开表样_g02收入决算表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0FB1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E763445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C74B845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1405B62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2B29CB1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F108625">
      <w:pPr>
        <w:spacing w:before="101" w:line="224" w:lineRule="auto"/>
        <w:ind w:left="674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 w14:paraId="3382C71B">
      <w:pPr>
        <w:spacing w:before="151" w:line="5818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93360" cy="2479040"/>
            <wp:effectExtent l="0" t="0" r="2540" b="16510"/>
            <wp:docPr id="3" name="图片 3" descr="2023年度部门决算公开表样_g03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年度部门决算公开表样_g03支出决算表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B048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5B79A916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075DD5A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77B33F4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77BAD87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4D97E2E3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02FFDFE5">
      <w:pPr>
        <w:pStyle w:val="2"/>
        <w:spacing w:line="245" w:lineRule="auto"/>
        <w:rPr>
          <w:rFonts w:hint="default" w:ascii="Times New Roman" w:hAnsi="Times New Roman" w:eastAsia="仿宋_GB2312" w:cs="Times New Roman"/>
        </w:rPr>
      </w:pPr>
    </w:p>
    <w:p w14:paraId="0587E358">
      <w:pPr>
        <w:spacing w:line="4378" w:lineRule="exact"/>
        <w:ind w:firstLine="1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73675" cy="2176780"/>
            <wp:effectExtent l="0" t="0" r="3175" b="13970"/>
            <wp:docPr id="4" name="图片 4" descr="2023年度部门决算公开表样_g04财政拨款收入支出决算总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年度部门决算公开表样_g04财政拨款收入支出决算总表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7DA9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5348E15F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01E0E8C5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1F3DEA1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23E737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6050C6E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44A3E5C6">
      <w:pPr>
        <w:spacing w:before="229" w:line="4102" w:lineRule="exact"/>
        <w:ind w:firstLine="1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91455" cy="2647950"/>
            <wp:effectExtent l="0" t="0" r="4445" b="0"/>
            <wp:docPr id="5" name="图片 5" descr="2023年度部门决算公开表样_g05一般公共预算财政拨款支出决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年度部门决算公开表样_g05一般公共预算财政拨款支出决算表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51C58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736A4FBD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E199CE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5DCCA7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FF11184">
      <w:p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2ACC0C1B">
      <w:pPr>
        <w:spacing w:before="234" w:line="5964" w:lineRule="exact"/>
        <w:ind w:firstLine="237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75580" cy="3134995"/>
            <wp:effectExtent l="0" t="0" r="1270" b="8255"/>
            <wp:docPr id="6" name="图片 6" descr="2023年度部门决算公开表样_g06一般公共预算财政拨款基本支出决算明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年度部门决算公开表样_g06一般公共预算财政拨款基本支出决算明细表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8D1B1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4EE00500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388B6C52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5B140DF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7C053C9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79907CA8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11F74E36">
      <w:pPr>
        <w:spacing w:before="235" w:line="4714" w:lineRule="exact"/>
        <w:ind w:firstLine="2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94"/>
        </w:rPr>
        <w:drawing>
          <wp:inline distT="0" distB="0" distL="0" distR="0">
            <wp:extent cx="4987925" cy="29933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1733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37958CB3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186DA18B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68FD1ED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B2CBEAF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E10C43E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45E2B815">
      <w:pPr>
        <w:spacing w:before="182" w:line="4817" w:lineRule="exact"/>
        <w:ind w:firstLine="28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96"/>
        </w:rPr>
        <w:drawing>
          <wp:inline distT="0" distB="0" distL="0" distR="0">
            <wp:extent cx="5254625" cy="30581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5259" cy="30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0DE4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49D71A80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6461A985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44EBBC8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95BE596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75BF3284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278AA62F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106"/>
        </w:rPr>
        <w:drawing>
          <wp:inline distT="0" distB="0" distL="0" distR="0">
            <wp:extent cx="4991100" cy="3366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AD5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224E53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DE4AD14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58930D1D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437F56F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06A97532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5775F52E">
      <w:pPr>
        <w:spacing w:line="9847" w:lineRule="exact"/>
        <w:ind w:firstLine="29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196"/>
        </w:rPr>
        <w:drawing>
          <wp:inline distT="0" distB="0" distL="0" distR="0">
            <wp:extent cx="4912995" cy="62522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13629" cy="62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C48C">
      <w:pPr>
        <w:spacing w:line="9847" w:lineRule="exact"/>
        <w:rPr>
          <w:rFonts w:hint="default" w:ascii="Times New Roman" w:hAnsi="Times New Roman" w:eastAsia="仿宋_GB2312" w:cs="Times New Roman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531689E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1583DF46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B5E6447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19128DE2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D59620E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46D36E01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eastAsia="zh-CN"/>
        </w:rPr>
        <w:t xml:space="preserve">2164.99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增加247.79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增长11.4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lang w:val="en-US" w:eastAsia="zh-CN"/>
        </w:rPr>
        <w:t>本年度增加清算中人职业年金和校舍维修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项目支出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lang w:val="en-US" w:eastAsia="zh-CN"/>
        </w:rPr>
        <w:t>。</w:t>
      </w:r>
    </w:p>
    <w:p w14:paraId="2758BBDE">
      <w:pPr>
        <w:spacing w:before="101" w:line="356" w:lineRule="auto"/>
        <w:ind w:left="138" w:right="82" w:firstLine="615"/>
        <w:rPr>
          <w:rFonts w:hint="default" w:ascii="Times New Roman" w:hAnsi="Times New Roman" w:eastAsia="仿宋_GB2312" w:cs="Times New Roman"/>
          <w:color w:val="FF0000"/>
          <w:spacing w:val="2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FF0000"/>
          <w:spacing w:val="12"/>
          <w:sz w:val="31"/>
          <w:szCs w:val="31"/>
        </w:rPr>
        <w:t>注:决算收支增减变化情况要说明，可做柱</w:t>
      </w:r>
      <w:r>
        <w:rPr>
          <w:rFonts w:hint="default" w:ascii="Times New Roman" w:hAnsi="Times New Roman" w:eastAsia="仿宋_GB2312" w:cs="Times New Roman"/>
          <w:color w:val="FF0000"/>
          <w:spacing w:val="11"/>
          <w:sz w:val="31"/>
          <w:szCs w:val="31"/>
        </w:rPr>
        <w:t>形图进行分</w:t>
      </w:r>
      <w:r>
        <w:rPr>
          <w:rFonts w:hint="default" w:ascii="Times New Roman" w:hAnsi="Times New Roman" w:eastAsia="仿宋_GB2312" w:cs="Times New Roman"/>
          <w:color w:val="FF00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FF0000"/>
          <w:spacing w:val="2"/>
          <w:sz w:val="31"/>
          <w:szCs w:val="31"/>
        </w:rPr>
        <w:t>析对比。</w:t>
      </w:r>
    </w:p>
    <w:p w14:paraId="53F03EAE">
      <w:pPr>
        <w:spacing w:before="101" w:line="356" w:lineRule="auto"/>
        <w:ind w:right="82"/>
        <w:rPr>
          <w:rFonts w:hint="default" w:ascii="Times New Roman" w:hAnsi="Times New Roman" w:eastAsia="仿宋_GB2312" w:cs="Times New Roman"/>
          <w:color w:val="FF0000"/>
          <w:spacing w:val="2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FF0000"/>
          <w:spacing w:val="2"/>
          <w:sz w:val="31"/>
          <w:szCs w:val="31"/>
          <w:lang w:eastAsia="zh-CN"/>
        </w:rPr>
        <w:drawing>
          <wp:inline distT="0" distB="0" distL="114300" distR="114300">
            <wp:extent cx="5256530" cy="2988310"/>
            <wp:effectExtent l="5080" t="4445" r="15240" b="55245"/>
            <wp:docPr id="7" name="图表 7" descr="7b0a202020202263686172745265734964223a202232303437323034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6C1F422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7F512259">
      <w:pPr>
        <w:spacing w:before="253" w:line="368" w:lineRule="auto"/>
        <w:ind w:left="23" w:firstLine="644"/>
        <w:jc w:val="both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本年收入合计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 xml:space="preserve">2099.19 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万元，其中：财政拨款收入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 xml:space="preserve">2098.90 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增加247.8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增长11.4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%，主要是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lang w:val="en-US" w:eastAsia="zh-CN"/>
        </w:rPr>
        <w:t>清算中人职业年金和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项目支出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级补助收入</w:t>
      </w:r>
      <w:r>
        <w:rPr>
          <w:rFonts w:hint="default" w:ascii="Times New Roman" w:hAnsi="Times New Roman" w:eastAsia="仿宋_GB2312" w:cs="Times New Roman"/>
          <w:spacing w:val="4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……；事业收入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）万元，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……；经营收入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 万元，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上年增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加（减少）万元，增长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……；附属单位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 xml:space="preserve">上缴收入 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 xml:space="preserve"> 万元，比上年增加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……；其他收入0.29  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0.49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62.8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。主要是银行存款利息增加。</w:t>
      </w:r>
    </w:p>
    <w:p w14:paraId="4E3F8255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drawing>
          <wp:inline distT="0" distB="0" distL="114300" distR="114300">
            <wp:extent cx="5256530" cy="2988310"/>
            <wp:effectExtent l="5080" t="4445" r="15240" b="55245"/>
            <wp:docPr id="9" name="图表 9" descr="7b0a202020202263686172745265734964223a202232303437363436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5D02CC71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本年支出合计2099.19 万元，其中：基本支出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 xml:space="preserve">1909.87   </w:t>
      </w:r>
      <w:r>
        <w:rPr>
          <w:rFonts w:hint="default" w:ascii="Times New Roman" w:hAnsi="Times New Roman" w:eastAsia="仿宋_GB2312" w:cs="Times New Roman"/>
          <w:spacing w:val="2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增加84.58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增长3.1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清算退休中人职业年金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7"/>
          <w:sz w:val="31"/>
          <w:szCs w:val="31"/>
          <w:lang w:val="en-US" w:eastAsia="zh-CN"/>
        </w:rPr>
        <w:t xml:space="preserve">189.32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189.32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eastAsia" w:ascii="Times New Roman" w:hAnsi="Times New Roman" w:eastAsia="仿宋_GB2312" w:cs="Times New Roman"/>
          <w:spacing w:val="0"/>
          <w:sz w:val="31"/>
          <w:szCs w:val="31"/>
          <w:lang w:val="en-US" w:eastAsia="zh-CN"/>
        </w:rPr>
        <w:t>增加校舍维修、构筑物建筑项目支出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 xml:space="preserve">；上缴上级支出 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 xml:space="preserve"> 万元，比上年增加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；经营支出</w:t>
      </w:r>
      <w:r>
        <w:rPr>
          <w:rFonts w:hint="default" w:ascii="Times New Roman" w:hAnsi="Times New Roman" w:eastAsia="仿宋_GB2312" w:cs="Times New Roman"/>
          <w:spacing w:val="4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；对附属单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位补助支出</w:t>
      </w:r>
      <w:r>
        <w:rPr>
          <w:rFonts w:hint="default" w:ascii="Times New Roman" w:hAnsi="Times New Roman" w:eastAsia="仿宋_GB2312" w:cs="Times New Roman"/>
          <w:spacing w:val="45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……。</w:t>
      </w:r>
    </w:p>
    <w:p w14:paraId="0191EBC9">
      <w:pPr>
        <w:spacing w:before="47" w:line="356" w:lineRule="auto"/>
        <w:ind w:right="86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drawing>
          <wp:inline distT="0" distB="0" distL="114300" distR="114300">
            <wp:extent cx="5075555" cy="2581275"/>
            <wp:effectExtent l="4445" t="4445" r="6350" b="62230"/>
            <wp:docPr id="10" name="图表 10" descr="7b0a202020202263686172745265734964223a202232303437363436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3A060AC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4B3BF637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年度财政拨款收、支总计均为2164.71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增加248.29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增长11.5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%。主要原因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清算退休中人职业年金、项目支出。</w:t>
      </w:r>
    </w:p>
    <w:p w14:paraId="061B836E">
      <w:pPr>
        <w:spacing w:before="50" w:line="356" w:lineRule="auto"/>
        <w:ind w:right="86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color w:val="FF0000"/>
          <w:spacing w:val="-10"/>
          <w:sz w:val="31"/>
          <w:szCs w:val="31"/>
          <w:lang w:eastAsia="zh-CN"/>
        </w:rPr>
        <w:drawing>
          <wp:inline distT="0" distB="0" distL="114300" distR="114300">
            <wp:extent cx="5221605" cy="2988310"/>
            <wp:effectExtent l="5080" t="4445" r="12065" b="55245"/>
            <wp:docPr id="11" name="图表 11" descr="7b0a202020202263686172745265734964223a202232303437323034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1F370688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23C04410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3DBECA28">
      <w:pPr>
        <w:spacing w:line="240" w:lineRule="auto"/>
        <w:ind w:left="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年度一般公共预算财政拨款支出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2,098.90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万元，占本年支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出合计的 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%。与 2022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年度相比，一般公共预算财政拨款支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增加248.29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增长11.8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%。主要原因：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53"/>
          <w:sz w:val="31"/>
          <w:szCs w:val="31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清算退休中人职业年金。</w:t>
      </w:r>
    </w:p>
    <w:p w14:paraId="05934F9E">
      <w:pPr>
        <w:spacing w:before="49" w:line="356" w:lineRule="auto"/>
        <w:ind w:right="92"/>
        <w:rPr>
          <w:rFonts w:hint="default" w:ascii="Times New Roman" w:hAnsi="Times New Roman" w:eastAsia="仿宋_GB2312" w:cs="Times New Roman"/>
          <w:color w:val="FF0000"/>
          <w:spacing w:val="2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FF0000"/>
          <w:spacing w:val="-10"/>
          <w:sz w:val="31"/>
          <w:szCs w:val="31"/>
          <w:lang w:eastAsia="zh-CN"/>
        </w:rPr>
        <w:drawing>
          <wp:inline distT="0" distB="0" distL="114300" distR="114300">
            <wp:extent cx="5256530" cy="2988310"/>
            <wp:effectExtent l="5080" t="4445" r="15240" b="55245"/>
            <wp:docPr id="12" name="图表 12" descr="7b0a202020202263686172745265734964223a202232303437323034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244FAD3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3B06312C">
      <w:pPr>
        <w:spacing w:before="251" w:line="364" w:lineRule="auto"/>
        <w:ind w:left="68" w:right="7" w:firstLine="60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年度一般公共预算财政拨款支出2,098.90万元，主要用于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以下方面：教育支出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eastAsia="zh-CN"/>
        </w:rPr>
        <w:t>1633.19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77.8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 %；社会保障和就业支出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242.31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11.5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卫生健康支出</w:t>
      </w: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t>86.26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万元，占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住房保障支出137.14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</w:p>
    <w:p w14:paraId="29D77970">
      <w:pPr>
        <w:spacing w:before="49" w:line="356" w:lineRule="auto"/>
        <w:ind w:right="91"/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color w:val="FF0000"/>
          <w:spacing w:val="4"/>
          <w:sz w:val="31"/>
          <w:szCs w:val="31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13" name="图表 13" descr="7b0a202020202263686172745265734964223a202232303437363436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0312B63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1DF21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年度一般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财政拨款支出年初预算为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2,098.90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2,098.90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%。其中：</w:t>
      </w:r>
    </w:p>
    <w:p w14:paraId="4C1D7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1</w:t>
      </w:r>
      <w:r>
        <w:rPr>
          <w:rFonts w:hint="eastAsia" w:ascii="仿宋" w:hAnsi="仿宋" w:eastAsia="仿宋"/>
          <w:sz w:val="32"/>
        </w:rPr>
        <w:t>.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教育</w:t>
      </w:r>
      <w:r>
        <w:rPr>
          <w:rFonts w:hint="eastAsia" w:ascii="仿宋" w:hAnsi="仿宋" w:eastAsia="仿宋"/>
          <w:sz w:val="32"/>
          <w:szCs w:val="30"/>
        </w:rPr>
        <w:t>支出年初预算为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eastAsia="zh-CN"/>
        </w:rPr>
        <w:t>1633.19</w:t>
      </w:r>
      <w:r>
        <w:rPr>
          <w:rFonts w:hint="eastAsia" w:ascii="仿宋" w:hAnsi="仿宋" w:eastAsia="仿宋"/>
          <w:sz w:val="32"/>
          <w:szCs w:val="30"/>
        </w:rPr>
        <w:t>万元，支出决算为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eastAsia="zh-CN"/>
        </w:rPr>
        <w:t>1633.19</w:t>
      </w:r>
      <w:r>
        <w:rPr>
          <w:rFonts w:hint="eastAsia" w:ascii="仿宋" w:hAnsi="仿宋" w:eastAsia="仿宋"/>
          <w:sz w:val="32"/>
          <w:szCs w:val="30"/>
        </w:rPr>
        <w:t>万元，完成年初预算的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 xml:space="preserve"> %。</w:t>
      </w:r>
      <w:r>
        <w:rPr>
          <w:rFonts w:hint="eastAsia" w:ascii="仿宋" w:hAnsi="仿宋" w:eastAsia="仿宋"/>
          <w:sz w:val="32"/>
          <w:szCs w:val="30"/>
          <w:lang w:eastAsia="zh-CN"/>
        </w:rPr>
        <w:t>完成本年</w:t>
      </w:r>
      <w:r>
        <w:rPr>
          <w:rFonts w:hint="eastAsia" w:ascii="仿宋" w:hAnsi="仿宋" w:eastAsia="仿宋"/>
          <w:sz w:val="32"/>
          <w:szCs w:val="30"/>
        </w:rPr>
        <w:t>预算。</w:t>
      </w:r>
    </w:p>
    <w:p w14:paraId="462679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社会保障和就业支出</w:t>
      </w:r>
      <w:r>
        <w:rPr>
          <w:rFonts w:hint="eastAsia" w:ascii="仿宋" w:hAnsi="仿宋" w:eastAsia="仿宋"/>
          <w:sz w:val="32"/>
          <w:szCs w:val="30"/>
        </w:rPr>
        <w:t>预算</w:t>
      </w:r>
      <w:r>
        <w:rPr>
          <w:rFonts w:hint="eastAsia" w:ascii="仿宋" w:hAnsi="仿宋" w:eastAsia="仿宋"/>
          <w:sz w:val="32"/>
          <w:szCs w:val="30"/>
          <w:lang w:eastAsia="zh-CN"/>
        </w:rPr>
        <w:t>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242.31万元</w:t>
      </w:r>
      <w:r>
        <w:rPr>
          <w:rFonts w:hint="eastAsia" w:ascii="仿宋" w:hAnsi="仿宋" w:eastAsia="仿宋"/>
          <w:sz w:val="32"/>
          <w:szCs w:val="30"/>
        </w:rPr>
        <w:t>，支出决算为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242.31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eastAsia="zh-CN"/>
        </w:rPr>
        <w:t>完成本年</w:t>
      </w:r>
      <w:r>
        <w:rPr>
          <w:rFonts w:hint="eastAsia" w:ascii="仿宋" w:hAnsi="仿宋" w:eastAsia="仿宋"/>
          <w:sz w:val="32"/>
          <w:szCs w:val="30"/>
        </w:rPr>
        <w:t>预算。</w:t>
      </w:r>
    </w:p>
    <w:p w14:paraId="7F7664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.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卫生健康支出</w:t>
      </w:r>
      <w:r>
        <w:rPr>
          <w:rFonts w:hint="eastAsia" w:ascii="仿宋" w:hAnsi="仿宋" w:eastAsia="仿宋"/>
          <w:sz w:val="32"/>
          <w:szCs w:val="30"/>
        </w:rPr>
        <w:t>预算</w:t>
      </w:r>
      <w:r>
        <w:rPr>
          <w:rFonts w:hint="eastAsia" w:ascii="仿宋" w:hAnsi="仿宋" w:eastAsia="仿宋"/>
          <w:sz w:val="32"/>
          <w:szCs w:val="30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86.26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0"/>
        </w:rPr>
        <w:t>，支出决算为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86.26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eastAsia="zh-CN"/>
        </w:rPr>
        <w:t>完成本年</w:t>
      </w:r>
      <w:r>
        <w:rPr>
          <w:rFonts w:hint="eastAsia" w:ascii="仿宋" w:hAnsi="仿宋" w:eastAsia="仿宋"/>
          <w:sz w:val="32"/>
          <w:szCs w:val="30"/>
        </w:rPr>
        <w:t>预算。</w:t>
      </w:r>
    </w:p>
    <w:p w14:paraId="1FC5C1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  <w:lang w:val="en-US" w:eastAsia="zh-CN"/>
        </w:rPr>
        <w:t>4.住房保障支出</w:t>
      </w:r>
      <w:r>
        <w:rPr>
          <w:rFonts w:hint="eastAsia" w:ascii="仿宋" w:hAnsi="仿宋" w:eastAsia="仿宋"/>
          <w:sz w:val="32"/>
          <w:szCs w:val="30"/>
        </w:rPr>
        <w:t>预算</w:t>
      </w:r>
      <w:r>
        <w:rPr>
          <w:rFonts w:hint="eastAsia" w:ascii="仿宋" w:hAnsi="仿宋" w:eastAsia="仿宋"/>
          <w:sz w:val="32"/>
          <w:szCs w:val="30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137.14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0"/>
        </w:rPr>
        <w:t>，支出决算为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137.14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eastAsia="zh-CN"/>
        </w:rPr>
        <w:t>完成本年</w:t>
      </w:r>
      <w:r>
        <w:rPr>
          <w:rFonts w:hint="eastAsia" w:ascii="仿宋" w:hAnsi="仿宋" w:eastAsia="仿宋"/>
          <w:sz w:val="32"/>
          <w:szCs w:val="30"/>
        </w:rPr>
        <w:t>预算。</w:t>
      </w:r>
    </w:p>
    <w:p w14:paraId="1E5DC38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27265BD0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2E7F4F2E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</w:p>
    <w:p w14:paraId="4B8F5F5C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5DC74B25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>2098.9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746AF25E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1724.68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，主要包括：基本工资、津贴补贴、奖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金、伙食补助费、绩效工资、机关事业单位基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费、职业年金缴费、职工基本医疗保险缴费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助缴费、其他社会保障缴费、住房公积金、医疗费、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其他工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资福利支出、离休费、退休费、退职（役） 费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、抚恤金、生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活补助、救济费、医疗费补助、助学金、奖励金、个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人农业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生产补贴、代缴社会保险费和其他对个人和家庭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的补助。</w:t>
      </w:r>
    </w:p>
    <w:p w14:paraId="31F0329F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184.9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，主要包括：办公费、印刷费、咨询费、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手续费、水费、电费、邮电费、取暖费、物业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管理费、差旅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费、因公出国（境）费、维修（护）费、租赁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费、</w:t>
      </w:r>
      <w:r>
        <w:rPr>
          <w:rFonts w:hint="default" w:ascii="Times New Roman" w:hAnsi="Times New Roman" w:eastAsia="仿宋_GB2312" w:cs="Times New Roman"/>
          <w:spacing w:val="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会议费、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培训费、公务接待费、专用材料费、被装购置费、专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用燃料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费、劳务费、委托业务费、工会经费、福利费、公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行维护费、其他交通费用、税金及附加费用、其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他商品和服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务支出、房屋建筑物购建、办公设备购置、专用设备购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置、</w:t>
      </w:r>
    </w:p>
    <w:p w14:paraId="33E849F9">
      <w:pPr>
        <w:spacing w:line="367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699" w:bottom="1153" w:left="1785" w:header="0" w:footer="965" w:gutter="0"/>
          <w:cols w:space="720" w:num="1"/>
        </w:sectPr>
      </w:pPr>
    </w:p>
    <w:p w14:paraId="13575BAF">
      <w:pPr>
        <w:spacing w:before="158" w:line="356" w:lineRule="auto"/>
        <w:ind w:left="39" w:right="161" w:hanging="1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基础设施建设、大型修缮、信息网络及软件购置更新、其他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资本性支出</w:t>
      </w:r>
    </w:p>
    <w:p w14:paraId="2B8C5070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7EFC623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6D180E10">
      <w:pPr>
        <w:spacing w:before="101" w:line="224" w:lineRule="auto"/>
        <w:ind w:left="50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7EA54E3F">
      <w:pPr>
        <w:spacing w:before="246" w:line="366" w:lineRule="auto"/>
        <w:ind w:left="38" w:firstLine="4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>2023 年度政府性基金预算财政拨款年初结转和结余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万元；本年收入 万元，比上年增加（减少）万元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，增长（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下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降） %，主要是</w:t>
      </w:r>
      <w:r>
        <w:rPr>
          <w:rFonts w:hint="default" w:ascii="Times New Roman" w:hAnsi="Times New Roman" w:eastAsia="仿宋_GB2312" w:cs="Times New Roman"/>
          <w:spacing w:val="-9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……；本年支出 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比上年增加（减少）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万元，增长（</w:t>
      </w:r>
      <w:r>
        <w:rPr>
          <w:rFonts w:hint="default" w:ascii="Times New Roman" w:hAnsi="Times New Roman" w:eastAsia="仿宋_GB2312" w:cs="Times New Roman"/>
          <w:spacing w:val="-7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下降）</w:t>
      </w:r>
      <w:r>
        <w:rPr>
          <w:rFonts w:hint="default" w:ascii="Times New Roman" w:hAnsi="Times New Roman" w:eastAsia="仿宋_GB2312" w:cs="Times New Roman"/>
          <w:spacing w:val="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；年末结转和结余</w:t>
      </w:r>
      <w:r>
        <w:rPr>
          <w:rFonts w:hint="default" w:ascii="Times New Roman" w:hAnsi="Times New Roman" w:eastAsia="仿宋_GB2312" w:cs="Times New Roman"/>
          <w:spacing w:val="4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元。支出具体情况如下：</w:t>
      </w:r>
    </w:p>
    <w:p w14:paraId="52005B0F">
      <w:pPr>
        <w:spacing w:before="50" w:line="322" w:lineRule="auto"/>
        <w:ind w:left="34" w:right="158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1.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（项）。政府性基金财政拨款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%,决算数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大（小）于预算数的主要原因是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…。</w:t>
      </w:r>
    </w:p>
    <w:p w14:paraId="12D4F1E9">
      <w:pPr>
        <w:spacing w:before="250" w:line="322" w:lineRule="auto"/>
        <w:ind w:left="34" w:right="159" w:firstLine="6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2.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（项）。政府性基金财政拨款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%,决算数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大（小）于预算数的主要原因是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…。</w:t>
      </w:r>
    </w:p>
    <w:p w14:paraId="7CE5C5F4">
      <w:pPr>
        <w:spacing w:before="250" w:line="322" w:lineRule="auto"/>
        <w:ind w:left="34" w:right="158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3.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（项）。政府性基金财政拨款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支出为  万元，主要用于……。完成年初预算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的  %,决算数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大（小）于预算数的主要原因是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…。</w:t>
      </w:r>
    </w:p>
    <w:p w14:paraId="0F1B8D84">
      <w:pPr>
        <w:spacing w:before="304" w:line="185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4.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……</w:t>
      </w:r>
    </w:p>
    <w:p w14:paraId="1BA4AE4F">
      <w:pPr>
        <w:spacing w:before="158" w:line="224" w:lineRule="auto"/>
        <w:ind w:left="74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1548247E">
      <w:pPr>
        <w:spacing w:before="248" w:line="220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 年度国有资本经营预算年初结转和结余   万元；</w:t>
      </w:r>
    </w:p>
    <w:p w14:paraId="6713AF0F">
      <w:pPr>
        <w:spacing w:before="255" w:line="364" w:lineRule="auto"/>
        <w:ind w:left="23" w:firstLine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 xml:space="preserve">本年收入 万元，比上年增加（减少）万元，增长（下降）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；本年支出</w:t>
      </w:r>
      <w:r>
        <w:rPr>
          <w:rFonts w:hint="default" w:ascii="Times New Roman" w:hAnsi="Times New Roman" w:eastAsia="仿宋_GB2312" w:cs="Times New Roman"/>
          <w:spacing w:val="4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比上年增加（减少）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增长（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下降）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；年末结转和结余</w:t>
      </w:r>
      <w:r>
        <w:rPr>
          <w:rFonts w:hint="default" w:ascii="Times New Roman" w:hAnsi="Times New Roman" w:eastAsia="仿宋_GB2312" w:cs="Times New Roman"/>
          <w:spacing w:val="4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出具体情况如下：</w:t>
      </w:r>
    </w:p>
    <w:p w14:paraId="57A3F825">
      <w:pPr>
        <w:spacing w:before="51" w:line="322" w:lineRule="auto"/>
        <w:ind w:left="33" w:right="84" w:firstLine="65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1.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（项）。国有资本经营预算财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政拨款支出为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0047E01E">
      <w:pPr>
        <w:spacing w:before="249" w:line="322" w:lineRule="auto"/>
        <w:ind w:left="33" w:right="84" w:firstLine="6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2.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（项）。国有资本经营预算财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政拨款支出为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6081B57B">
      <w:pPr>
        <w:spacing w:before="251" w:line="322" w:lineRule="auto"/>
        <w:ind w:left="33" w:right="84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3.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（类）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（项）。国有资本经营预算财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政拨款支出为  万元，主要用于……。完成年初预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算的  %,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决算数大（小）于预算数的主要原因是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4E524156">
      <w:pPr>
        <w:spacing w:before="303" w:line="185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4.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……</w:t>
      </w:r>
    </w:p>
    <w:p w14:paraId="38C88334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06C87D0B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28EB140D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619F8EAD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3685E036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46C86ABC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  万元，支</w:t>
      </w:r>
    </w:p>
    <w:p w14:paraId="7146C80C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3FAD1108">
      <w:pPr>
        <w:spacing w:before="156" w:line="362" w:lineRule="auto"/>
        <w:ind w:left="41" w:firstLine="26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  万元，完成预算的  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万元，增长（下降） %，主要原因是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…。决算数大（小）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于预算数的主要原因</w:t>
      </w:r>
      <w:r>
        <w:rPr>
          <w:rFonts w:hint="default" w:ascii="Times New Roman" w:hAnsi="Times New Roman" w:eastAsia="仿宋_GB2312" w:cs="Times New Roman"/>
          <w:spacing w:val="-9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5D605321">
      <w:pPr>
        <w:spacing w:before="50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7C03B828">
      <w:pPr>
        <w:spacing w:before="248" w:line="366" w:lineRule="auto"/>
        <w:ind w:left="23" w:right="74" w:firstLine="66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  万元,支出决算为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   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default" w:ascii="Times New Roman" w:hAnsi="Times New Roman" w:eastAsia="仿宋_GB2312" w:cs="Times New Roman"/>
          <w:spacing w:val="7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%，主要原因……。决算数大（小）于预算数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的主要原因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……。全年共有因公出国（境）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团组  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  人次。主要包括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…。</w:t>
      </w:r>
    </w:p>
    <w:p w14:paraId="78D9C6B0">
      <w:pPr>
        <w:spacing w:before="57" w:line="364" w:lineRule="auto"/>
        <w:ind w:left="23" w:right="156" w:firstLine="64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  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   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pacing w:val="7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default" w:ascii="Times New Roman" w:hAnsi="Times New Roman" w:eastAsia="仿宋_GB2312" w:cs="Times New Roman"/>
          <w:spacing w:val="7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%，主要原因……。决算数大（小）于预算数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的主要原因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…。其中：</w:t>
      </w:r>
    </w:p>
    <w:p w14:paraId="41E1CCC2">
      <w:pPr>
        <w:spacing w:before="49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公务用车购置费支出   万元。主要是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…；截至 2023</w:t>
      </w:r>
    </w:p>
    <w:p w14:paraId="4F13BD0A">
      <w:pPr>
        <w:spacing w:before="253" w:line="221" w:lineRule="auto"/>
        <w:ind w:left="3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年 12 月 31 日，公务用车保有量为    辆,公务用车购置数</w:t>
      </w:r>
    </w:p>
    <w:p w14:paraId="2025E59C">
      <w:pPr>
        <w:spacing w:before="253" w:line="223" w:lineRule="auto"/>
        <w:ind w:left="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为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 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辆。</w:t>
      </w:r>
    </w:p>
    <w:p w14:paraId="0C7EF10C">
      <w:pPr>
        <w:spacing w:before="54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公务用车运行维护费支出   万元，主要是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7CB4647D">
      <w:pPr>
        <w:spacing w:line="22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3FD26591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  万元，支出决算为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   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年度增加（减少）   万元，增长（下降）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default" w:ascii="Times New Roman" w:hAnsi="Times New Roman" w:eastAsia="仿宋_GB2312" w:cs="Times New Roman"/>
          <w:spacing w:val="-6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…。决算数大（小）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于预算数的主要原因</w:t>
      </w:r>
      <w:r>
        <w:rPr>
          <w:rFonts w:hint="default" w:ascii="Times New Roman" w:hAnsi="Times New Roman" w:eastAsia="仿宋_GB2312" w:cs="Times New Roman"/>
          <w:spacing w:val="-20"/>
          <w:sz w:val="31"/>
          <w:szCs w:val="31"/>
        </w:rPr>
        <w:t>是</w:t>
      </w:r>
      <w:r>
        <w:rPr>
          <w:rFonts w:hint="default" w:ascii="Times New Roman" w:hAnsi="Times New Roman" w:eastAsia="仿宋_GB2312" w:cs="Times New Roman"/>
          <w:spacing w:val="-9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31"/>
          <w:szCs w:val="31"/>
        </w:rPr>
        <w:t>…。其中：</w:t>
      </w:r>
    </w:p>
    <w:p w14:paraId="2F0BF4B3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  万元。主要用于……。全年共接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  个、来访外宾   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来访外宾主要包括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478018EB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  万元。主要用于……。全年共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default" w:ascii="Times New Roman" w:hAnsi="Times New Roman" w:eastAsia="仿宋_GB2312" w:cs="Times New Roman"/>
          <w:spacing w:val="3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35C71875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76C572C8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27631EA0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4F86DFD3">
      <w:pPr>
        <w:spacing w:before="249" w:line="353" w:lineRule="auto"/>
        <w:ind w:left="23" w:right="3" w:firstLine="63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一）绩效评价工作开展情况。绩效评价工作开展情况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说明为：根据预算绩效管理要求，本部门组织对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XX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个，二级项目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个，共涉及资金</w:t>
      </w:r>
      <w:r>
        <w:rPr>
          <w:rFonts w:hint="default" w:ascii="Times New Roman" w:hAnsi="Times New Roman" w:eastAsia="仿宋_GB2312" w:cs="Times New Roman"/>
          <w:spacing w:val="-2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占一般公共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预算项目支出总额的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%。组织对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-4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等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XX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个政府性基金预算项目开展绩效自评，共涉及资金</w:t>
      </w:r>
      <w:r>
        <w:rPr>
          <w:rFonts w:hint="default" w:ascii="Times New Roman" w:hAnsi="Times New Roman" w:eastAsia="仿宋_GB2312" w:cs="Times New Roman"/>
          <w:spacing w:val="-4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占政府性基金预算项目支出总额的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等</w:t>
      </w:r>
      <w:r>
        <w:rPr>
          <w:rFonts w:hint="default" w:ascii="Times New Roman" w:hAnsi="Times New Roman" w:eastAsia="仿宋_GB2312" w:cs="Times New Roman"/>
          <w:spacing w:val="-4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个国有资本经营预算项目开展绩效自评，共</w:t>
      </w:r>
    </w:p>
    <w:p w14:paraId="57487E0D">
      <w:pPr>
        <w:spacing w:line="35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10" w:bottom="1153" w:left="1785" w:header="0" w:footer="965" w:gutter="0"/>
          <w:cols w:space="720" w:num="1"/>
        </w:sectPr>
      </w:pPr>
    </w:p>
    <w:p w14:paraId="72A4D62F">
      <w:pPr>
        <w:spacing w:before="159" w:line="223" w:lineRule="auto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涉及资金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万元，占国有资本经营预算项目支出总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额的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%。</w:t>
      </w:r>
    </w:p>
    <w:p w14:paraId="4AA7036F">
      <w:pPr>
        <w:spacing w:before="252" w:line="364" w:lineRule="auto"/>
        <w:ind w:left="23" w:right="102" w:firstLine="64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组织对“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”“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”等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个项目开展了部门绩效评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价，涉及一般公共预算支出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万元，政府性基金预算支出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万元，国有资本经营预算支出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>万元。从评价情况来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看，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</w:p>
    <w:p w14:paraId="0BFC0DDB">
      <w:pPr>
        <w:spacing w:before="250" w:line="362" w:lineRule="auto"/>
        <w:ind w:left="33" w:right="106" w:firstLine="63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组织对本部门开展整体支出绩效评价，涉及一般公共预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算支出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万元，政府性基金预算支出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万元。从评价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来看，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…</w:t>
      </w:r>
    </w:p>
    <w:p w14:paraId="43AED580">
      <w:pPr>
        <w:spacing w:before="253" w:line="356" w:lineRule="auto"/>
        <w:ind w:left="36" w:right="22" w:firstLine="622"/>
        <w:rPr>
          <w:rFonts w:hint="default" w:ascii="Times New Roman" w:hAnsi="Times New Roman" w:eastAsia="仿宋_GB2312" w:cs="Times New Roman"/>
          <w:sz w:val="31"/>
          <w:szCs w:val="31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项目绩效自评结果（如有）。除涉密敏感内容外，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省级部门原则上应予以公开。按照如下格式说明</w:t>
      </w:r>
      <w:r>
        <w:rPr>
          <w:rFonts w:hint="default" w:ascii="Times New Roman" w:hAnsi="Times New Roman" w:eastAsia="仿宋_GB2312" w:cs="Times New Roman"/>
          <w:spacing w:val="-8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:</w:t>
      </w:r>
    </w:p>
    <w:p w14:paraId="71A080FA">
      <w:pPr>
        <w:spacing w:before="49" w:line="366" w:lineRule="auto"/>
        <w:ind w:left="21" w:right="107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项目绩效自评情况：根据年初设定的绩效目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标，项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目绩效自评得分为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分。项目全年预算数为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万元，执行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数为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万元，完成预算的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%。项目绩效目标完成情况：一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是……；二是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2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。发现的主要问题及原因：一是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…；二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是……。下一步改进措施：一是……；二是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</w:t>
      </w:r>
    </w:p>
    <w:p w14:paraId="08EE0646">
      <w:pPr>
        <w:spacing w:before="49" w:line="224" w:lineRule="auto"/>
        <w:ind w:left="66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XXX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项目绩效自评情况：</w:t>
      </w:r>
      <w:r>
        <w:rPr>
          <w:rFonts w:hint="default" w:ascii="Times New Roman" w:hAnsi="Times New Roman" w:eastAsia="仿宋_GB2312" w:cs="Times New Roman"/>
          <w:spacing w:val="-7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1CBB39DD">
      <w:pPr>
        <w:spacing w:before="250" w:line="364" w:lineRule="auto"/>
        <w:ind w:left="34" w:firstLine="62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部门评价结果（如有）。除涉密敏感内容外，省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级部门原则上应将部门评价结果以报告的形式予以公开。报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告框架可参考《项目支出绩效评价管理办法》（吉财绩〔2022〕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711</w:t>
      </w:r>
      <w:r>
        <w:rPr>
          <w:rFonts w:hint="default" w:ascii="Times New Roman" w:hAnsi="Times New Roman" w:eastAsia="仿宋_GB2312" w:cs="Times New Roman"/>
          <w:spacing w:val="-3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号）中的《项目支出绩效评价报告（参考提纲）》。</w:t>
      </w:r>
    </w:p>
    <w:p w14:paraId="3823315D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6B19D58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A74013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D6E42FE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1EEB9B54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5430CBDE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   万元，较2022年度增加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（减少）  万元，增长（降低）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…。</w:t>
      </w:r>
    </w:p>
    <w:p w14:paraId="45F619DC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73D1EE52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 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  万元、政府采购工程支出</w:t>
      </w:r>
      <w:r>
        <w:rPr>
          <w:rFonts w:hint="default" w:ascii="Times New Roman" w:hAnsi="Times New Roman" w:eastAsia="仿宋_GB2312" w:cs="Times New Roman"/>
          <w:spacing w:val="2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  万元。授予中小企业合同金额</w:t>
      </w:r>
      <w:r>
        <w:rPr>
          <w:rFonts w:hint="default" w:ascii="Times New Roman" w:hAnsi="Times New Roman" w:eastAsia="仿宋_GB2312" w:cs="Times New Roman"/>
          <w:spacing w:val="27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 %，其中：授予小微企业合同金额  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 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 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出金额的 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额的 %。</w:t>
      </w:r>
    </w:p>
    <w:p w14:paraId="6CF1D089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118493A5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日，XXXX（部门标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准名称）共有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车辆  辆，其中，副部（省）级及以上领导用车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辆、主</w:t>
      </w:r>
      <w:r>
        <w:rPr>
          <w:rFonts w:hint="default" w:ascii="Times New Roman" w:hAnsi="Times New Roman" w:eastAsia="仿宋_GB2312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default" w:ascii="Times New Roman" w:hAnsi="Times New Roman" w:eastAsia="仿宋_GB2312" w:cs="Times New Roman"/>
          <w:spacing w:val="-5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XX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辆，其他用车主要是……；单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>XX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658CF996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571F6390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3497951C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7C307113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578906A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548452E7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3E7ADED3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28E60D2B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2126BB1C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13F3479F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430D1A9C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2BA172AF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08F2AE28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18176FAC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00C15F4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7F717CA1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36078E5B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3D41E0EC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57A65D69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6BAB99A2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719D3962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6364353C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34E86308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5607CF43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51C27131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32985CEB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47600C46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十八、******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652AF0EE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0549807A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17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96E4B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811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DFA9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A2DAA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F498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1B39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85AE7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A72E3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F0B9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26CF4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945C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8B88A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5A468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A5MjdiNGFmZWZhNTExYmFhYjEyNGZiOWFhNDk5YmIifQ=="/>
  </w:docVars>
  <w:rsids>
    <w:rsidRoot w:val="00000000"/>
    <w:rsid w:val="0ABD2EA9"/>
    <w:rsid w:val="11C82954"/>
    <w:rsid w:val="163C7E24"/>
    <w:rsid w:val="16E22E2F"/>
    <w:rsid w:val="1A4B52AF"/>
    <w:rsid w:val="1E24708C"/>
    <w:rsid w:val="2324183F"/>
    <w:rsid w:val="2358620C"/>
    <w:rsid w:val="2F114FB5"/>
    <w:rsid w:val="34AA3776"/>
    <w:rsid w:val="35384DBC"/>
    <w:rsid w:val="37F96EF7"/>
    <w:rsid w:val="41126768"/>
    <w:rsid w:val="4B6B4C49"/>
    <w:rsid w:val="6DCD5D1E"/>
    <w:rsid w:val="781E71C5"/>
    <w:rsid w:val="7D956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20"/>
    <w:basedOn w:val="5"/>
    <w:uiPriority w:val="0"/>
    <w:rPr>
      <w:rFonts w:hint="default" w:ascii="Times New Roman" w:eastAsia="楷体_GB2312" w:cs="楷体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hart" Target="charts/chart6.xml"/><Relationship Id="rId33" Type="http://schemas.openxmlformats.org/officeDocument/2006/relationships/chart" Target="charts/chart5.xml"/><Relationship Id="rId32" Type="http://schemas.openxmlformats.org/officeDocument/2006/relationships/chart" Target="charts/chart4.xml"/><Relationship Id="rId31" Type="http://schemas.openxmlformats.org/officeDocument/2006/relationships/chart" Target="charts/chart3.xml"/><Relationship Id="rId30" Type="http://schemas.openxmlformats.org/officeDocument/2006/relationships/chart" Target="charts/chart2.xml"/><Relationship Id="rId3" Type="http://schemas.openxmlformats.org/officeDocument/2006/relationships/footnotes" Target="footnotes.xml"/><Relationship Id="rId29" Type="http://schemas.openxmlformats.org/officeDocument/2006/relationships/chart" Target="charts/chart1.xml"/><Relationship Id="rId28" Type="http://schemas.openxmlformats.org/officeDocument/2006/relationships/image" Target="media/image10.jpeg"/><Relationship Id="rId27" Type="http://schemas.openxmlformats.org/officeDocument/2006/relationships/image" Target="media/image9.jpeg"/><Relationship Id="rId26" Type="http://schemas.openxmlformats.org/officeDocument/2006/relationships/image" Target="media/image8.jpeg"/><Relationship Id="rId25" Type="http://schemas.openxmlformats.org/officeDocument/2006/relationships/image" Target="media/image7.jpeg"/><Relationship Id="rId24" Type="http://schemas.openxmlformats.org/officeDocument/2006/relationships/image" Target="media/image6.jpeg"/><Relationship Id="rId23" Type="http://schemas.openxmlformats.org/officeDocument/2006/relationships/image" Target="media/image5.jpeg"/><Relationship Id="rId22" Type="http://schemas.openxmlformats.org/officeDocument/2006/relationships/image" Target="media/image4.jpeg"/><Relationship Id="rId21" Type="http://schemas.openxmlformats.org/officeDocument/2006/relationships/image" Target="media/image3.jpeg"/><Relationship Id="rId20" Type="http://schemas.openxmlformats.org/officeDocument/2006/relationships/image" Target="media/image2.jpe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6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4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收入支出决算总体情况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81691834825609"/>
          <c:y val="0.268844781445138"/>
          <c:w val="0.847975410931445"/>
          <c:h val="0.609924174843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 年度收、支总计</c:v>
                </c:pt>
              </c:strCache>
            </c:strRef>
          </c:tx>
          <c:spPr>
            <a:gradFill>
              <a:gsLst>
                <a:gs pos="0">
                  <a:srgbClr val="EE5596"/>
                </a:gs>
                <a:gs pos="100000">
                  <a:srgbClr val="F9B621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1917.2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 年度收、支总计</c:v>
                </c:pt>
              </c:strCache>
            </c:strRef>
          </c:tx>
          <c:spPr>
            <a:gradFill>
              <a:gsLst>
                <a:gs pos="0">
                  <a:srgbClr val="6E6FFA"/>
                </a:gs>
                <a:gs pos="100000">
                  <a:srgbClr val="07E3EE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2164.99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收、支总计各增加</c:v>
                </c:pt>
              </c:strCache>
            </c:strRef>
          </c:tx>
          <c:spPr>
            <a:gradFill>
              <a:gsLst>
                <a:gs pos="0">
                  <a:srgbClr val="8DDE03"/>
                </a:gs>
                <a:gs pos="100000">
                  <a:srgbClr val="DCDB06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247.79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1262598"/>
        <c:axId val="697842375"/>
      </c:barChart>
      <c:catAx>
        <c:axId val="89126259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697842375"/>
        <c:crosses val="autoZero"/>
        <c:auto val="1"/>
        <c:lblAlgn val="ctr"/>
        <c:lblOffset val="100"/>
        <c:noMultiLvlLbl val="0"/>
      </c:catAx>
      <c:valAx>
        <c:axId val="697842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891262598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df5608f-bf81-4b87-893b-cb6c133e315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收入决算情况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15875">
              <a:solidFill>
                <a:schemeClr val="bg1"/>
              </a:solidFill>
            </a:ln>
            <a:effectLst/>
            <a:scene3d>
              <a:camera prst="orthographicFront"/>
              <a:lightRig rig="threePt" dir="t"/>
            </a:scene3d>
            <a:sp3d contourW="15875"/>
          </c:spPr>
          <c:explosion val="0"/>
          <c:dPt>
            <c:idx val="0"/>
            <c:bubble3D val="0"/>
            <c:spPr>
              <a:solidFill>
                <a:schemeClr val="accent1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Pt>
            <c:idx val="1"/>
            <c:bubble3D val="0"/>
            <c:spPr>
              <a:solidFill>
                <a:schemeClr val="accent2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Pt>
            <c:idx val="2"/>
            <c:bubble3D val="0"/>
            <c:spPr>
              <a:solidFill>
                <a:schemeClr val="accent3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Pt>
            <c:idx val="3"/>
            <c:bubble3D val="0"/>
            <c:spPr>
              <a:solidFill>
                <a:schemeClr val="accent4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Lbls>
            <c:numFmt formatCode="General" sourceLinked="1"/>
            <c:spPr>
              <a:noFill/>
              <a:ln w="635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本年收入合计</c:v>
                </c:pt>
                <c:pt idx="1">
                  <c:v>财政拨款收入</c:v>
                </c:pt>
                <c:pt idx="2">
                  <c:v>比 上年增加</c:v>
                </c:pt>
                <c:pt idx="3">
                  <c:v>其他收入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2099.19</c:v>
                </c:pt>
                <c:pt idx="1">
                  <c:v>2098.9</c:v>
                </c:pt>
                <c:pt idx="2">
                  <c:v>247.8</c:v>
                </c:pt>
                <c:pt idx="3">
                  <c:v>0.29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399615b-c11f-4abc-b12a-e9101e0eb81a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支出决算情况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ln w="15875">
              <a:solidFill>
                <a:schemeClr val="bg1"/>
              </a:solidFill>
            </a:ln>
            <a:effectLst/>
            <a:scene3d>
              <a:camera prst="orthographicFront"/>
              <a:lightRig rig="threePt" dir="t"/>
            </a:scene3d>
            <a:sp3d contourW="15875"/>
          </c:spPr>
          <c:explosion val="0"/>
          <c:dPt>
            <c:idx val="0"/>
            <c:bubble3D val="0"/>
            <c:spPr>
              <a:solidFill>
                <a:schemeClr val="accent1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Pt>
            <c:idx val="1"/>
            <c:bubble3D val="0"/>
            <c:spPr>
              <a:solidFill>
                <a:schemeClr val="accent2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Pt>
            <c:idx val="2"/>
            <c:bubble3D val="0"/>
            <c:spPr>
              <a:solidFill>
                <a:schemeClr val="accent3">
                  <a:shade val="76667"/>
                </a:schemeClr>
              </a:solidFill>
              <a:ln w="15875"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15875"/>
            </c:spPr>
          </c:dPt>
          <c:dLbls>
            <c:numFmt formatCode="General" sourceLinked="1"/>
            <c:spPr>
              <a:noFill/>
              <a:ln w="635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本年支出合计</c:v>
                </c:pt>
                <c:pt idx="1">
                  <c:v>基本支出</c:v>
                </c:pt>
                <c:pt idx="2">
                  <c:v>项目支 出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2099.19</c:v>
                </c:pt>
                <c:pt idx="1">
                  <c:v>1909.87</c:v>
                </c:pt>
                <c:pt idx="2">
                  <c:v>189.32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b4ab577-d4ac-4ab8-98e9-de99fcb5a353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财政拨款收入支出总体情况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81691834825609"/>
          <c:y val="0.268844781445138"/>
          <c:w val="0.847975410931445"/>
          <c:h val="0.609924174843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2022年度财政拨款收、支总计</c:v>
                </c:pt>
              </c:strCache>
            </c:strRef>
          </c:tx>
          <c:spPr>
            <a:gradFill>
              <a:gsLst>
                <a:gs pos="0">
                  <a:srgbClr val="EE5596"/>
                </a:gs>
                <a:gs pos="100000">
                  <a:srgbClr val="F9B621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1916.42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 年度财政拨款收、支总计</c:v>
                </c:pt>
              </c:strCache>
            </c:strRef>
          </c:tx>
          <c:spPr>
            <a:gradFill>
              <a:gsLst>
                <a:gs pos="0">
                  <a:srgbClr val="6E6FFA"/>
                </a:gs>
                <a:gs pos="100000">
                  <a:srgbClr val="07E3EE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2164.71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财政拨款收、支总计各增加</c:v>
                </c:pt>
              </c:strCache>
            </c:strRef>
          </c:tx>
          <c:spPr>
            <a:gradFill>
              <a:gsLst>
                <a:gs pos="0">
                  <a:srgbClr val="8DDE03"/>
                </a:gs>
                <a:gs pos="100000">
                  <a:srgbClr val="DCDB06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248.29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563742"/>
        <c:axId val="462224193"/>
      </c:barChart>
      <c:catAx>
        <c:axId val="94056374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462224193"/>
        <c:crosses val="autoZero"/>
        <c:auto val="1"/>
        <c:lblAlgn val="ctr"/>
        <c:lblOffset val="100"/>
        <c:noMultiLvlLbl val="0"/>
      </c:catAx>
      <c:valAx>
        <c:axId val="46222419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94056374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f9fd65b6-3f3f-4c33-8d75-358a33a0ac71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一般公共预算财政拨款支出总体情况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81691834825609"/>
          <c:y val="0.268844781445138"/>
          <c:w val="0.847975410931445"/>
          <c:h val="0.609924174843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2022年度一般公共预算财政拨款支出</c:v>
                </c:pt>
              </c:strCache>
            </c:strRef>
          </c:tx>
          <c:spPr>
            <a:gradFill>
              <a:gsLst>
                <a:gs pos="0">
                  <a:srgbClr val="EE5596"/>
                </a:gs>
                <a:gs pos="100000">
                  <a:srgbClr val="F9B621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1850.51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 年度一般公共预算财政拨款支出</c:v>
                </c:pt>
              </c:strCache>
            </c:strRef>
          </c:tx>
          <c:spPr>
            <a:gradFill>
              <a:gsLst>
                <a:gs pos="0">
                  <a:srgbClr val="6E6FFA"/>
                </a:gs>
                <a:gs pos="100000">
                  <a:srgbClr val="07E3EE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#,##0.00</c:formatCode>
                <c:ptCount val="1"/>
                <c:pt idx="0">
                  <c:v>2098.9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一般公共预算财政拨款支 出增加</c:v>
                </c:pt>
              </c:strCache>
            </c:strRef>
          </c:tx>
          <c:spPr>
            <a:gradFill>
              <a:gsLst>
                <a:gs pos="0">
                  <a:srgbClr val="8DDE03"/>
                </a:gs>
                <a:gs pos="100000">
                  <a:srgbClr val="DCDB06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248.29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563742"/>
        <c:axId val="462224193"/>
      </c:barChart>
      <c:catAx>
        <c:axId val="94056374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462224193"/>
        <c:crosses val="autoZero"/>
        <c:auto val="1"/>
        <c:lblAlgn val="ctr"/>
        <c:lblOffset val="100"/>
        <c:noMultiLvlLbl val="0"/>
      </c:catAx>
      <c:valAx>
        <c:axId val="46222419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940563742"/>
        <c:crosses val="autoZero"/>
        <c:crossBetween val="between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fb875c7-c69a-4611-8b23-5ef277b7809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一般公共预算财政拨款支出结构情况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hueOff val="-1670000"/>
                    </a:schemeClr>
                  </a:gs>
                  <a:gs pos="10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hueOff val="-167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  <a:hueOff val="-1670000"/>
                      </a:schemeClr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hueOff val="-1670000"/>
                    </a:schemeClr>
                  </a:gs>
                  <a:gs pos="10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>
                        <a:lumMod val="75000"/>
                        <a:hueOff val="-1670000"/>
                      </a:schemeClr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hueOff val="-1670000"/>
                    </a:schemeClr>
                  </a:gs>
                  <a:gs pos="10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>
                        <a:lumMod val="75000"/>
                        <a:hueOff val="-1670000"/>
                      </a:schemeClr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教育支出</c:v>
                </c:pt>
                <c:pt idx="1">
                  <c:v>社会保障和就业支出</c:v>
                </c:pt>
                <c:pt idx="2">
                  <c:v>卫生健康支出</c:v>
                </c:pt>
                <c:pt idx="3">
                  <c:v>住房保障支出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1633.19</c:v>
                </c:pt>
                <c:pt idx="1">
                  <c:v>242.31</c:v>
                </c:pt>
                <c:pt idx="2">
                  <c:v>86.26</c:v>
                </c:pt>
                <c:pt idx="3">
                  <c:v>137.14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df711faf-cbc1-4183-8159-011f8b8ff5e7}"/>
      </c:ext>
    </c:extLst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99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hueOff val="-1670000"/>
            </a:schemeClr>
          </a:gs>
          <a:gs pos="100000">
            <a:schemeClr val="phClr"/>
          </a:gs>
        </a:gsLst>
        <a:lin ang="5400000" scaled="0"/>
      </a:gradFill>
      <a:ln>
        <a:gradFill>
          <a:gsLst>
            <a:gs pos="0">
              <a:schemeClr val="phClr">
                <a:lumMod val="75000"/>
                <a:hueOff val="-1670000"/>
              </a:schemeClr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6881</Words>
  <Characters>7346</Characters>
  <TotalTime>2</TotalTime>
  <ScaleCrop>false</ScaleCrop>
  <LinksUpToDate>false</LinksUpToDate>
  <CharactersWithSpaces>7942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Administrator</cp:lastModifiedBy>
  <cp:lastPrinted>2024-08-26T08:47:00Z</cp:lastPrinted>
  <dcterms:modified xsi:type="dcterms:W3CDTF">2024-10-24T23:55:32Z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E640740E8850480DB81D768BF3B726BB_13</vt:lpwstr>
  </property>
</Properties>
</file>