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rPr>
          <w:rFonts w:ascii="宋体" w:hAnsi="宋体"/>
          <w:sz w:val="24"/>
        </w:rPr>
      </w:pPr>
      <w:r>
        <w:rPr>
          <w:rFonts w:hint="eastAsia" w:ascii="宋体" w:hAnsi="宋体"/>
          <w:sz w:val="24"/>
        </w:rPr>
        <w:t>附件1：</w:t>
      </w:r>
    </w:p>
    <w:p/>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r>
        <w:rPr>
          <w:rFonts w:ascii="宋体" w:hAnsi="宋体" w:cs="Arial"/>
          <w:sz w:val="44"/>
          <w:szCs w:val="44"/>
        </w:rPr>
        <w:t>2021年</w:t>
      </w:r>
      <w:r>
        <w:rPr>
          <w:rFonts w:ascii="Arial" w:hAnsi="Arial" w:eastAsia="方正小标宋简体" w:cs="Arial"/>
          <w:sz w:val="44"/>
          <w:szCs w:val="44"/>
        </w:rPr>
        <w:t>度</w:t>
      </w:r>
    </w:p>
    <w:p>
      <w:pPr>
        <w:jc w:val="center"/>
        <w:rPr>
          <w:rFonts w:ascii="Arial" w:hAnsi="Arial" w:cs="Arial"/>
        </w:rPr>
      </w:pPr>
    </w:p>
    <w:p>
      <w:pPr>
        <w:jc w:val="center"/>
        <w:rPr>
          <w:rFonts w:ascii="Arial" w:hAnsi="Arial" w:eastAsia="方正小标宋简体" w:cs="Arial"/>
          <w:sz w:val="44"/>
          <w:szCs w:val="44"/>
        </w:rPr>
      </w:pPr>
      <w:r>
        <w:rPr>
          <w:rFonts w:hint="eastAsia" w:ascii="Arial" w:hAnsi="Arial" w:eastAsia="方正小标宋简体" w:cs="Arial"/>
          <w:sz w:val="44"/>
          <w:szCs w:val="44"/>
        </w:rPr>
        <w:t>榆树市应急管理局（汇总）</w:t>
      </w:r>
      <w:r>
        <w:rPr>
          <w:rFonts w:ascii="Arial" w:hAnsi="Arial" w:eastAsia="方正小标宋简体" w:cs="Arial"/>
          <w:sz w:val="44"/>
          <w:szCs w:val="44"/>
        </w:rPr>
        <w:t>部门决算</w:t>
      </w: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bookmarkStart w:id="0" w:name="_GoBack"/>
      <w:bookmarkEnd w:id="0"/>
    </w:p>
    <w:p>
      <w:pPr>
        <w:jc w:val="center"/>
        <w:rPr>
          <w:rFonts w:ascii="宋体" w:hAnsi="宋体" w:cs="Arial"/>
          <w:sz w:val="44"/>
          <w:szCs w:val="44"/>
        </w:rPr>
      </w:pPr>
      <w:r>
        <w:rPr>
          <w:rFonts w:ascii="宋体" w:hAnsi="宋体" w:cs="Arial"/>
          <w:sz w:val="44"/>
          <w:szCs w:val="44"/>
        </w:rPr>
        <w:t>2022</w:t>
      </w:r>
      <w:r>
        <w:rPr>
          <w:rFonts w:hint="eastAsia" w:ascii="仿宋_GB2312" w:hAnsi="宋体" w:eastAsia="仿宋_GB2312" w:cs="Arial"/>
          <w:sz w:val="44"/>
          <w:szCs w:val="44"/>
        </w:rPr>
        <w:t>年</w:t>
      </w:r>
      <w:r>
        <w:rPr>
          <w:rFonts w:hint="eastAsia" w:ascii="仿宋_GB2312" w:hAnsi="宋体" w:eastAsia="仿宋_GB2312" w:cs="Arial"/>
          <w:sz w:val="44"/>
          <w:szCs w:val="44"/>
          <w:lang w:val="en-US" w:eastAsia="zh-CN"/>
        </w:rPr>
        <w:t>10</w:t>
      </w:r>
      <w:r>
        <w:rPr>
          <w:rFonts w:hint="eastAsia" w:ascii="仿宋_GB2312" w:hAnsi="宋体" w:eastAsia="仿宋_GB2312" w:cs="Arial"/>
          <w:sz w:val="44"/>
          <w:szCs w:val="44"/>
        </w:rPr>
        <w:t>月</w:t>
      </w:r>
      <w:r>
        <w:rPr>
          <w:rFonts w:hint="eastAsia" w:ascii="仿宋_GB2312" w:hAnsi="宋体" w:eastAsia="仿宋_GB2312" w:cs="Arial"/>
          <w:sz w:val="44"/>
          <w:szCs w:val="44"/>
          <w:lang w:val="en-US" w:eastAsia="zh-CN"/>
        </w:rPr>
        <w:t>12</w:t>
      </w:r>
      <w:r>
        <w:rPr>
          <w:rFonts w:hint="eastAsia" w:ascii="仿宋_GB2312" w:hAnsi="宋体" w:eastAsia="仿宋_GB2312" w:cs="Arial"/>
          <w:sz w:val="44"/>
          <w:szCs w:val="44"/>
        </w:rPr>
        <w:t>日</w:t>
      </w: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Arial" w:hAnsi="Arial" w:eastAsia="方正小标宋简体" w:cs="Arial"/>
          <w:sz w:val="44"/>
          <w:szCs w:val="44"/>
        </w:rPr>
      </w:pPr>
    </w:p>
    <w:p>
      <w:pPr>
        <w:jc w:val="center"/>
        <w:rPr>
          <w:rFonts w:ascii="仿宋" w:hAnsi="仿宋" w:eastAsia="仿宋"/>
          <w:sz w:val="32"/>
        </w:rPr>
      </w:pPr>
    </w:p>
    <w:p>
      <w:pPr>
        <w:jc w:val="center"/>
        <w:rPr>
          <w:rFonts w:ascii="方正小标宋简体" w:hAnsi="方正小标宋简体" w:eastAsia="方正小标宋简体"/>
          <w:sz w:val="44"/>
        </w:rPr>
      </w:pPr>
      <w:r>
        <w:rPr>
          <w:rFonts w:hint="eastAsia" w:ascii="方正小标宋简体" w:hAnsi="方正小标宋简体" w:eastAsia="方正小标宋简体"/>
          <w:sz w:val="44"/>
        </w:rPr>
        <w:t>目   录</w:t>
      </w:r>
    </w:p>
    <w:p>
      <w:pPr>
        <w:rPr>
          <w:rFonts w:ascii="黑体" w:hAnsi="黑体" w:eastAsia="黑体"/>
          <w:sz w:val="32"/>
        </w:rPr>
      </w:pPr>
    </w:p>
    <w:p>
      <w:pPr>
        <w:rPr>
          <w:rFonts w:ascii="黑体" w:hAnsi="黑体" w:eastAsia="黑体"/>
          <w:sz w:val="32"/>
        </w:rPr>
      </w:pPr>
      <w:r>
        <w:rPr>
          <w:rFonts w:hint="eastAsia" w:ascii="黑体" w:hAnsi="黑体" w:eastAsia="黑体"/>
          <w:sz w:val="32"/>
        </w:rPr>
        <w:t>第一部分  部门概况</w:t>
      </w:r>
    </w:p>
    <w:p>
      <w:pPr>
        <w:rPr>
          <w:rFonts w:ascii="仿宋" w:hAnsi="仿宋" w:eastAsia="仿宋"/>
          <w:sz w:val="32"/>
        </w:rPr>
      </w:pPr>
      <w:r>
        <w:rPr>
          <w:rFonts w:hint="eastAsia" w:ascii="仿宋" w:hAnsi="仿宋" w:eastAsia="仿宋"/>
          <w:sz w:val="32"/>
        </w:rPr>
        <w:t>一、部门职责</w:t>
      </w:r>
    </w:p>
    <w:p>
      <w:pPr>
        <w:rPr>
          <w:rFonts w:ascii="仿宋" w:hAnsi="仿宋" w:eastAsia="仿宋"/>
          <w:sz w:val="32"/>
        </w:rPr>
      </w:pPr>
      <w:r>
        <w:rPr>
          <w:rFonts w:hint="eastAsia" w:ascii="仿宋" w:hAnsi="仿宋" w:eastAsia="仿宋"/>
          <w:sz w:val="32"/>
        </w:rPr>
        <w:t>二、机构设置及部门决算单位构成</w:t>
      </w:r>
    </w:p>
    <w:p>
      <w:pPr>
        <w:rPr>
          <w:rFonts w:ascii="黑体" w:hAnsi="黑体" w:eastAsia="黑体"/>
          <w:sz w:val="32"/>
        </w:rPr>
      </w:pPr>
      <w:r>
        <w:rPr>
          <w:rFonts w:hint="eastAsia" w:ascii="黑体" w:hAnsi="黑体" w:eastAsia="黑体"/>
          <w:sz w:val="32"/>
        </w:rPr>
        <w:t xml:space="preserve">第二部分 </w:t>
      </w:r>
      <w:r>
        <w:rPr>
          <w:rFonts w:hint="eastAsia" w:ascii="宋体" w:hAnsi="宋体"/>
          <w:sz w:val="32"/>
        </w:rPr>
        <w:t>2021年</w:t>
      </w:r>
      <w:r>
        <w:rPr>
          <w:rFonts w:hint="eastAsia" w:ascii="黑体" w:hAnsi="黑体" w:eastAsia="黑体"/>
          <w:sz w:val="32"/>
        </w:rPr>
        <w:t>度部门决算表</w:t>
      </w:r>
    </w:p>
    <w:p>
      <w:pPr>
        <w:rPr>
          <w:rFonts w:ascii="仿宋" w:hAnsi="仿宋" w:eastAsia="仿宋"/>
          <w:sz w:val="32"/>
        </w:rPr>
      </w:pPr>
      <w:r>
        <w:rPr>
          <w:rFonts w:hint="eastAsia" w:ascii="仿宋" w:hAnsi="仿宋" w:eastAsia="仿宋"/>
          <w:sz w:val="32"/>
        </w:rPr>
        <w:t>一、收入支出决算总表</w:t>
      </w:r>
    </w:p>
    <w:p>
      <w:pPr>
        <w:rPr>
          <w:rFonts w:ascii="仿宋" w:hAnsi="仿宋" w:eastAsia="仿宋"/>
          <w:sz w:val="32"/>
        </w:rPr>
      </w:pPr>
      <w:r>
        <w:rPr>
          <w:rFonts w:hint="eastAsia" w:ascii="仿宋" w:hAnsi="仿宋" w:eastAsia="仿宋"/>
          <w:sz w:val="32"/>
        </w:rPr>
        <w:t>二、收入决算表</w:t>
      </w:r>
    </w:p>
    <w:p>
      <w:pPr>
        <w:rPr>
          <w:rFonts w:ascii="仿宋" w:hAnsi="仿宋" w:eastAsia="仿宋"/>
          <w:sz w:val="32"/>
        </w:rPr>
      </w:pPr>
      <w:r>
        <w:rPr>
          <w:rFonts w:hint="eastAsia" w:ascii="仿宋" w:hAnsi="仿宋" w:eastAsia="仿宋"/>
          <w:sz w:val="32"/>
        </w:rPr>
        <w:t>三、支出决算表</w:t>
      </w:r>
    </w:p>
    <w:p>
      <w:pPr>
        <w:rPr>
          <w:rFonts w:ascii="仿宋" w:hAnsi="仿宋" w:eastAsia="仿宋"/>
          <w:sz w:val="32"/>
        </w:rPr>
      </w:pPr>
      <w:r>
        <w:rPr>
          <w:rFonts w:hint="eastAsia" w:ascii="仿宋" w:hAnsi="仿宋" w:eastAsia="仿宋"/>
          <w:sz w:val="32"/>
        </w:rPr>
        <w:t>四、财政拨款收入支出决算总表</w:t>
      </w:r>
    </w:p>
    <w:p>
      <w:pPr>
        <w:rPr>
          <w:rFonts w:ascii="仿宋" w:hAnsi="仿宋" w:eastAsia="仿宋"/>
          <w:sz w:val="32"/>
        </w:rPr>
      </w:pPr>
      <w:r>
        <w:rPr>
          <w:rFonts w:hint="eastAsia" w:ascii="仿宋" w:hAnsi="仿宋" w:eastAsia="仿宋"/>
          <w:sz w:val="32"/>
        </w:rPr>
        <w:t>五、一般公共预算财政拨款支出决算表</w:t>
      </w:r>
    </w:p>
    <w:p>
      <w:pPr>
        <w:rPr>
          <w:rFonts w:ascii="仿宋" w:hAnsi="仿宋" w:eastAsia="仿宋"/>
          <w:sz w:val="32"/>
        </w:rPr>
      </w:pPr>
      <w:r>
        <w:rPr>
          <w:rFonts w:hint="eastAsia" w:ascii="仿宋" w:hAnsi="仿宋" w:eastAsia="仿宋"/>
          <w:sz w:val="32"/>
        </w:rPr>
        <w:t>六、一般公共预算财政拨款基本支出决算表</w:t>
      </w:r>
    </w:p>
    <w:p>
      <w:pPr>
        <w:rPr>
          <w:rFonts w:ascii="仿宋" w:hAnsi="仿宋" w:eastAsia="仿宋"/>
          <w:sz w:val="32"/>
        </w:rPr>
      </w:pPr>
      <w:r>
        <w:rPr>
          <w:rFonts w:hint="eastAsia" w:ascii="仿宋" w:hAnsi="仿宋" w:eastAsia="仿宋"/>
          <w:sz w:val="32"/>
        </w:rPr>
        <w:t>七、一般公共预算财政拨款“三公”经费支出决算表</w:t>
      </w:r>
    </w:p>
    <w:p>
      <w:pPr>
        <w:rPr>
          <w:rFonts w:ascii="仿宋" w:hAnsi="仿宋" w:eastAsia="仿宋"/>
          <w:sz w:val="32"/>
        </w:rPr>
      </w:pPr>
      <w:r>
        <w:rPr>
          <w:rFonts w:hint="eastAsia" w:ascii="仿宋" w:hAnsi="仿宋" w:eastAsia="仿宋"/>
          <w:sz w:val="32"/>
        </w:rPr>
        <w:t>八、政府性基金预算财政拨款收入支出决算表</w:t>
      </w:r>
    </w:p>
    <w:p>
      <w:pPr>
        <w:rPr>
          <w:rFonts w:ascii="仿宋" w:hAnsi="仿宋" w:eastAsia="仿宋"/>
          <w:sz w:val="32"/>
        </w:rPr>
      </w:pPr>
      <w:r>
        <w:rPr>
          <w:rFonts w:hint="eastAsia" w:ascii="仿宋" w:hAnsi="仿宋" w:eastAsia="仿宋"/>
          <w:sz w:val="32"/>
        </w:rPr>
        <w:t>九、</w:t>
      </w:r>
      <w:r>
        <w:rPr>
          <w:rFonts w:hint="eastAsia" w:ascii="仿宋_GB2312" w:hAnsi="仿宋" w:eastAsia="仿宋_GB2312"/>
          <w:sz w:val="32"/>
          <w:szCs w:val="30"/>
        </w:rPr>
        <w:t>国有</w:t>
      </w:r>
      <w:r>
        <w:rPr>
          <w:rFonts w:ascii="仿宋_GB2312" w:hAnsi="仿宋" w:eastAsia="仿宋_GB2312"/>
          <w:sz w:val="32"/>
          <w:szCs w:val="30"/>
        </w:rPr>
        <w:t>资本经营预算</w:t>
      </w:r>
      <w:r>
        <w:rPr>
          <w:rFonts w:hint="eastAsia" w:ascii="仿宋_GB2312" w:hAnsi="仿宋" w:eastAsia="仿宋_GB2312"/>
          <w:sz w:val="32"/>
          <w:szCs w:val="30"/>
        </w:rPr>
        <w:t>财政拨款支出</w:t>
      </w:r>
      <w:r>
        <w:rPr>
          <w:rFonts w:ascii="仿宋_GB2312" w:hAnsi="仿宋" w:eastAsia="仿宋_GB2312"/>
          <w:sz w:val="32"/>
          <w:szCs w:val="30"/>
        </w:rPr>
        <w:t>决算表</w:t>
      </w:r>
    </w:p>
    <w:p>
      <w:pPr>
        <w:rPr>
          <w:rFonts w:ascii="仿宋" w:hAnsi="仿宋" w:eastAsia="仿宋"/>
          <w:sz w:val="32"/>
        </w:rPr>
      </w:pPr>
      <w:r>
        <w:rPr>
          <w:rFonts w:hint="eastAsia" w:ascii="仿宋" w:hAnsi="仿宋" w:eastAsia="仿宋"/>
          <w:sz w:val="32"/>
        </w:rPr>
        <w:t>十、部门预算项目支出绩效自评表</w:t>
      </w:r>
    </w:p>
    <w:p>
      <w:pPr>
        <w:rPr>
          <w:rFonts w:ascii="黑体" w:hAnsi="黑体" w:eastAsia="黑体"/>
          <w:sz w:val="32"/>
        </w:rPr>
      </w:pPr>
      <w:r>
        <w:rPr>
          <w:rFonts w:hint="eastAsia" w:ascii="黑体" w:hAnsi="黑体" w:eastAsia="黑体"/>
          <w:sz w:val="32"/>
        </w:rPr>
        <w:t xml:space="preserve">第三部分  </w:t>
      </w:r>
      <w:r>
        <w:rPr>
          <w:rFonts w:hint="eastAsia" w:ascii="宋体" w:hAnsi="宋体"/>
          <w:sz w:val="32"/>
        </w:rPr>
        <w:t>2021年</w:t>
      </w:r>
      <w:r>
        <w:rPr>
          <w:rFonts w:hint="eastAsia" w:ascii="黑体" w:hAnsi="黑体" w:eastAsia="黑体"/>
          <w:sz w:val="32"/>
        </w:rPr>
        <w:t>度部门决算情况说明</w:t>
      </w:r>
    </w:p>
    <w:p>
      <w:pPr>
        <w:rPr>
          <w:rFonts w:ascii="仿宋" w:hAnsi="仿宋" w:eastAsia="仿宋"/>
          <w:sz w:val="32"/>
        </w:rPr>
      </w:pPr>
      <w:r>
        <w:rPr>
          <w:rFonts w:hint="eastAsia" w:ascii="仿宋" w:hAnsi="仿宋" w:eastAsia="仿宋"/>
          <w:sz w:val="32"/>
        </w:rPr>
        <w:t>一、收入支出决算总体情况说明</w:t>
      </w:r>
    </w:p>
    <w:p>
      <w:pPr>
        <w:rPr>
          <w:rFonts w:ascii="仿宋" w:hAnsi="仿宋" w:eastAsia="仿宋"/>
          <w:sz w:val="32"/>
        </w:rPr>
      </w:pPr>
      <w:r>
        <w:rPr>
          <w:rFonts w:hint="eastAsia" w:ascii="仿宋" w:hAnsi="仿宋" w:eastAsia="仿宋"/>
          <w:sz w:val="32"/>
        </w:rPr>
        <w:t>二、收入决算情况说明</w:t>
      </w:r>
    </w:p>
    <w:p>
      <w:pPr>
        <w:rPr>
          <w:rFonts w:ascii="仿宋" w:hAnsi="仿宋" w:eastAsia="仿宋"/>
          <w:sz w:val="32"/>
        </w:rPr>
      </w:pPr>
      <w:r>
        <w:rPr>
          <w:rFonts w:hint="eastAsia" w:ascii="仿宋" w:hAnsi="仿宋" w:eastAsia="仿宋"/>
          <w:sz w:val="32"/>
        </w:rPr>
        <w:t>三、支出决算情况说明</w:t>
      </w:r>
    </w:p>
    <w:p>
      <w:pPr>
        <w:rPr>
          <w:rFonts w:ascii="仿宋" w:hAnsi="仿宋" w:eastAsia="仿宋"/>
          <w:sz w:val="32"/>
        </w:rPr>
      </w:pPr>
      <w:r>
        <w:rPr>
          <w:rFonts w:hint="eastAsia" w:ascii="仿宋" w:hAnsi="仿宋" w:eastAsia="仿宋"/>
          <w:sz w:val="32"/>
        </w:rPr>
        <w:t>四、财政拨款收入支出决算总体情况说明</w:t>
      </w:r>
    </w:p>
    <w:p>
      <w:pPr>
        <w:rPr>
          <w:rFonts w:ascii="仿宋" w:hAnsi="仿宋" w:eastAsia="仿宋"/>
          <w:sz w:val="32"/>
        </w:rPr>
      </w:pPr>
      <w:r>
        <w:rPr>
          <w:rFonts w:hint="eastAsia" w:ascii="仿宋" w:hAnsi="仿宋" w:eastAsia="仿宋"/>
          <w:sz w:val="32"/>
        </w:rPr>
        <w:t>五、一般公共预算财政拨款支出决算情况说明</w:t>
      </w:r>
    </w:p>
    <w:p>
      <w:pPr>
        <w:rPr>
          <w:rFonts w:ascii="仿宋" w:hAnsi="仿宋" w:eastAsia="仿宋"/>
          <w:sz w:val="32"/>
        </w:rPr>
      </w:pPr>
      <w:r>
        <w:rPr>
          <w:rFonts w:hint="eastAsia" w:ascii="仿宋" w:hAnsi="仿宋" w:eastAsia="仿宋"/>
          <w:sz w:val="32"/>
        </w:rPr>
        <w:t>六、一般公共预算财政拨款基本支出决算情况说明</w:t>
      </w:r>
    </w:p>
    <w:p>
      <w:pPr>
        <w:rPr>
          <w:rFonts w:ascii="仿宋" w:hAnsi="仿宋" w:eastAsia="仿宋"/>
          <w:sz w:val="32"/>
        </w:rPr>
      </w:pPr>
      <w:r>
        <w:rPr>
          <w:rFonts w:hint="eastAsia" w:ascii="仿宋" w:hAnsi="仿宋" w:eastAsia="仿宋"/>
          <w:sz w:val="32"/>
        </w:rPr>
        <w:t>七、一般公共预算财政拨款“三公”经费支出决算情况说明</w:t>
      </w:r>
    </w:p>
    <w:p>
      <w:pPr>
        <w:rPr>
          <w:rFonts w:ascii="仿宋" w:hAnsi="仿宋" w:eastAsia="仿宋"/>
          <w:sz w:val="32"/>
        </w:rPr>
      </w:pPr>
      <w:r>
        <w:rPr>
          <w:rFonts w:hint="eastAsia" w:ascii="仿宋" w:hAnsi="仿宋" w:eastAsia="仿宋"/>
          <w:sz w:val="32"/>
        </w:rPr>
        <w:t>八、政府性基金预算财政拨款收入支出决算情况说明</w:t>
      </w:r>
    </w:p>
    <w:p>
      <w:pPr>
        <w:rPr>
          <w:rFonts w:ascii="仿宋" w:hAnsi="仿宋" w:eastAsia="仿宋"/>
          <w:sz w:val="32"/>
        </w:rPr>
      </w:pPr>
      <w:r>
        <w:rPr>
          <w:rFonts w:hint="eastAsia" w:ascii="仿宋" w:hAnsi="仿宋" w:eastAsia="仿宋"/>
          <w:sz w:val="32"/>
        </w:rPr>
        <w:t>九、</w:t>
      </w:r>
      <w:r>
        <w:rPr>
          <w:rFonts w:hint="eastAsia" w:ascii="仿宋_GB2312" w:hAnsi="仿宋" w:eastAsia="仿宋_GB2312"/>
          <w:sz w:val="32"/>
          <w:szCs w:val="30"/>
        </w:rPr>
        <w:t>国有</w:t>
      </w:r>
      <w:r>
        <w:rPr>
          <w:rFonts w:ascii="仿宋_GB2312" w:hAnsi="仿宋" w:eastAsia="仿宋_GB2312"/>
          <w:sz w:val="32"/>
          <w:szCs w:val="30"/>
        </w:rPr>
        <w:t>资本经营预算</w:t>
      </w:r>
      <w:r>
        <w:rPr>
          <w:rFonts w:hint="eastAsia" w:ascii="仿宋_GB2312" w:hAnsi="仿宋" w:eastAsia="仿宋_GB2312"/>
          <w:sz w:val="32"/>
          <w:szCs w:val="30"/>
        </w:rPr>
        <w:t>财政拨款支出</w:t>
      </w:r>
      <w:r>
        <w:rPr>
          <w:rFonts w:ascii="仿宋_GB2312" w:hAnsi="仿宋" w:eastAsia="仿宋_GB2312"/>
          <w:sz w:val="32"/>
          <w:szCs w:val="30"/>
        </w:rPr>
        <w:t>决算</w:t>
      </w:r>
      <w:r>
        <w:rPr>
          <w:rFonts w:hint="eastAsia" w:ascii="仿宋_GB2312" w:hAnsi="仿宋" w:eastAsia="仿宋_GB2312"/>
          <w:sz w:val="32"/>
          <w:szCs w:val="30"/>
        </w:rPr>
        <w:t>情况说明</w:t>
      </w:r>
    </w:p>
    <w:p>
      <w:pPr>
        <w:rPr>
          <w:rFonts w:ascii="仿宋" w:hAnsi="仿宋" w:eastAsia="仿宋"/>
          <w:sz w:val="32"/>
        </w:rPr>
      </w:pPr>
      <w:r>
        <w:rPr>
          <w:rFonts w:hint="eastAsia" w:ascii="仿宋" w:hAnsi="仿宋" w:eastAsia="仿宋"/>
          <w:sz w:val="32"/>
        </w:rPr>
        <w:t>十、预算绩效管理情况说明</w:t>
      </w:r>
    </w:p>
    <w:p>
      <w:pPr>
        <w:rPr>
          <w:rFonts w:ascii="仿宋" w:hAnsi="仿宋" w:eastAsia="仿宋"/>
          <w:sz w:val="32"/>
        </w:rPr>
      </w:pPr>
      <w:r>
        <w:rPr>
          <w:rFonts w:hint="eastAsia" w:ascii="仿宋" w:hAnsi="仿宋" w:eastAsia="仿宋"/>
          <w:sz w:val="32"/>
        </w:rPr>
        <w:t>十一、其他重要事项情况说明</w:t>
      </w:r>
    </w:p>
    <w:p>
      <w:pPr>
        <w:rPr>
          <w:rFonts w:ascii="黑体" w:hAnsi="黑体" w:eastAsia="黑体"/>
          <w:sz w:val="32"/>
        </w:rPr>
      </w:pPr>
      <w:r>
        <w:rPr>
          <w:rFonts w:hint="eastAsia" w:ascii="黑体" w:hAnsi="黑体" w:eastAsia="黑体"/>
          <w:sz w:val="32"/>
        </w:rPr>
        <w:t>第四部分  名词解释</w:t>
      </w:r>
    </w:p>
    <w:p>
      <w:pPr>
        <w:rPr>
          <w:rFonts w:ascii="仿宋" w:hAnsi="仿宋" w:eastAsia="仿宋"/>
          <w:sz w:val="32"/>
        </w:rPr>
      </w:pPr>
    </w:p>
    <w:p>
      <w:pPr>
        <w:rPr>
          <w:rFonts w:ascii="仿宋" w:hAnsi="仿宋" w:eastAsia="仿宋"/>
          <w:sz w:val="32"/>
        </w:rPr>
      </w:pPr>
    </w:p>
    <w:p>
      <w:pPr>
        <w:rPr>
          <w:rFonts w:ascii="仿宋" w:hAnsi="仿宋" w:eastAsia="仿宋"/>
          <w:sz w:val="32"/>
        </w:rPr>
      </w:pPr>
    </w:p>
    <w:p>
      <w:pPr>
        <w:jc w:val="center"/>
        <w:rPr>
          <w:rFonts w:ascii="黑体" w:hAnsi="黑体" w:eastAsia="黑体"/>
          <w:sz w:val="32"/>
        </w:rPr>
      </w:pPr>
    </w:p>
    <w:p>
      <w:pPr>
        <w:jc w:val="center"/>
        <w:rPr>
          <w:rFonts w:ascii="仿宋" w:hAnsi="仿宋" w:eastAsia="仿宋"/>
          <w:sz w:val="32"/>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ind w:firstLine="2200" w:firstLineChars="500"/>
        <w:rPr>
          <w:rFonts w:ascii="方正小标宋简体" w:hAnsi="方正小标宋简体" w:eastAsia="方正小标宋简体"/>
          <w:sz w:val="44"/>
        </w:rPr>
      </w:pPr>
      <w:r>
        <w:rPr>
          <w:rFonts w:hint="eastAsia" w:ascii="方正小标宋简体" w:hAnsi="方正小标宋简体" w:eastAsia="方正小标宋简体"/>
          <w:sz w:val="44"/>
        </w:rPr>
        <w:t>第一部分  部门概况</w:t>
      </w:r>
    </w:p>
    <w:p>
      <w:pPr>
        <w:jc w:val="center"/>
        <w:rPr>
          <w:rFonts w:ascii="黑体" w:hAnsi="黑体" w:eastAsia="黑体"/>
          <w:sz w:val="32"/>
        </w:rPr>
      </w:pPr>
    </w:p>
    <w:p>
      <w:pPr>
        <w:rPr>
          <w:rFonts w:ascii="黑体" w:hAnsi="黑体" w:eastAsia="黑体"/>
          <w:sz w:val="32"/>
        </w:rPr>
      </w:pPr>
      <w:r>
        <w:rPr>
          <w:rFonts w:hint="eastAsia" w:ascii="黑体" w:hAnsi="黑体" w:eastAsia="黑体"/>
          <w:sz w:val="32"/>
        </w:rPr>
        <w:t xml:space="preserve">  </w:t>
      </w:r>
      <w:r>
        <w:rPr>
          <w:rFonts w:hint="eastAsia" w:ascii="仿宋" w:hAnsi="仿宋" w:eastAsia="仿宋"/>
          <w:sz w:val="32"/>
        </w:rPr>
        <w:t xml:space="preserve">   </w:t>
      </w:r>
      <w:r>
        <w:rPr>
          <w:rFonts w:hint="eastAsia" w:ascii="黑体" w:hAnsi="黑体" w:eastAsia="黑体"/>
          <w:sz w:val="32"/>
        </w:rPr>
        <w:t>一、部门职责</w:t>
      </w:r>
    </w:p>
    <w:p>
      <w:pPr>
        <w:rPr>
          <w:rFonts w:ascii="宋体" w:hAnsi="宋体" w:cs="宋体"/>
          <w:color w:val="444444"/>
          <w:kern w:val="0"/>
          <w:sz w:val="32"/>
          <w:szCs w:val="32"/>
        </w:rPr>
      </w:pPr>
      <w:r>
        <w:rPr>
          <w:rFonts w:hint="eastAsia" w:ascii="仿宋" w:hAnsi="仿宋" w:eastAsia="仿宋"/>
          <w:sz w:val="32"/>
        </w:rPr>
        <w:t xml:space="preserve">    </w:t>
      </w:r>
      <w:r>
        <w:rPr>
          <w:rFonts w:hint="eastAsia" w:ascii="宋体" w:hAnsi="宋体" w:cs="宋体"/>
          <w:color w:val="444444"/>
          <w:kern w:val="0"/>
          <w:sz w:val="32"/>
          <w:szCs w:val="32"/>
        </w:rPr>
        <w:t>(一)负责应急管理工作,指导各部门应对安全生产类、自然灾害类等突发事件和综合防灾减灾救灾工作。负责安全生产综合监督管理和工矿商贸行业安全生产监督管理工作。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(二)贯彻落实国家和省、市有关应急管理、安全生产的方针政策,组织编制市级应急体系建设、安全生产和综合防灾减灾规划,贯彻落实相关规章、规程和标准并监督实施。</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(三)指导应急预案体系建设,建立完善事故灾难和自然灾害分级应对制度,组织编制市级总体应急预案和安全生产类、自然灾害类专项预案,综合协调应急预案衔接工作,组织开展预案演练,推动应急避难设施建设。</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(四)牵头建立统一的应急管理信息系统,负责信息传输渠道的规划和布局,建立监测预警和灾情报告制度,健全自然灾害信息资源获取和共享机制,依法统一发布灾情。</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(五)组织指导协调安全生产类、自然灾害类等突发事件应急救援,综合研判突发事件发展态势并提出应对建议,协助市委、市政府指定的负责同志组织特别重大灾害应急处置工作。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(六)统一协调指挥各类应急专业队伍,建立应急协调联动机制,推进指挥平合对接。</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(七)统筹应急救援力量建设,负责消防、森林和草原火灾扑救、抗洪抢险、地震和地质灾害救援、生产安全事故救援等专业应急救援力量建设,管理综合性应急救援队伍,指导地方及社会应急救援力量建设。</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(八)负责消防工作,指导地方消防监督、火灾预防、火灾扑救等工作。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(九)指导协调森林和草原火灾、水旱灾害、地震和地质灾害等防治工作,负责自然灾害综合监测预警工作,指导开展自然灾害综合风险评估工作。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(十)组织协调灾害救助工作,组织指导灾情核查、损失评估、救灾捐赠工作,管理、分配救灾款物并监督使用。</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(十一)依法行使安全生产综合监督管理职权,指导协调、监督检查各部门安全生产工作,组织开展安全生产巡查、考核工作。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二)按照分级、属地原则,依法监督检查工矿商贸生产经营单位贯彻执行安全生产法律法规情况及其安全生产条件和有关设备(特种设备除外)、材料、劳动防护用品的安全生产管理工作。负责监督管理工矿商贸行业市属企业安全生产工作。依法组织并指导监督实施安全生产准入制度。负责危险化学品安全监督管理综合工作和烟花爆竹安全生产监督管理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(十三)依法组织、指导、协调生产安全事故调查处理,监督事故查处和责任追究落实情况。组织开展自然灾害类突发事件的调查评估工作。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(十四)制定应急物资储备和应急救援装备规划并组织实施,会同市粮食和物资储备局等部门建立健全应急物资信息平台和调拨制度,在救灾时统一调度。</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(十五)负责应急管理、安全生产宣传教育和培训工作,组织指导应急管理、安全生产的科学技术研究、推广应用和信息化建设工作。</w:t>
      </w:r>
    </w:p>
    <w:p>
      <w:pPr>
        <w:widowControl/>
        <w:shd w:val="clear" w:color="auto" w:fill="FFFFFF"/>
        <w:spacing w:line="457" w:lineRule="atLeast"/>
        <w:jc w:val="left"/>
        <w:rPr>
          <w:rFonts w:ascii="宋体" w:hAnsi="宋体" w:cs="宋体"/>
          <w:color w:val="444444"/>
          <w:kern w:val="0"/>
          <w:sz w:val="32"/>
          <w:szCs w:val="32"/>
        </w:rPr>
      </w:pPr>
      <w:r>
        <w:rPr>
          <w:rFonts w:hint="eastAsia" w:ascii="宋体" w:hAnsi="宋体" w:cs="宋体"/>
          <w:color w:val="444444"/>
          <w:kern w:val="0"/>
          <w:sz w:val="32"/>
          <w:szCs w:val="32"/>
        </w:rPr>
        <w:t>　　(十六)完成市委、市政府交办的其他任务。</w:t>
      </w:r>
    </w:p>
    <w:p>
      <w:pPr>
        <w:rPr>
          <w:rFonts w:ascii="仿宋" w:hAnsi="仿宋" w:eastAsia="仿宋"/>
          <w:sz w:val="32"/>
        </w:rPr>
      </w:pPr>
      <w:r>
        <w:rPr>
          <w:rFonts w:hint="eastAsia" w:ascii="宋体" w:hAnsi="宋体" w:cs="宋体"/>
          <w:color w:val="444444"/>
          <w:kern w:val="0"/>
          <w:sz w:val="32"/>
          <w:szCs w:val="32"/>
        </w:rPr>
        <w:t>　　(十七)职能转变。市应急管理局应加强、优化、统筹全市应急能力建设,构建统一领导、权责一致、权威高效的应急能力体系,推动形成统一指挥、专常兼备、反应灵敏、上下联动、平战结合的中国特色应急管理体制。一是坚持以防为主、防抗救结合,坚持常态减灾和非常态救灾相统一,努力实现从注重灾后救助向注重灾前预防转变,从应对单一灾种向综合减灾转变,从减少灾害损失向减轻灾害风险转变,提高全市应急管理水平和防灾减灾救灾能力,防范化解重特大安全风险。二是坚持以人为本,把确保人民群众生命安全放在首位,确保受灾群众基本生活,加强应急预案演练,增强全民防灾减灾意识,提升公众知识普及和自救互救技能,切实减少人员伤亡和财产损失。三是树立安全发展理念,坚持生命至上、安全第一,完善安全生产责任制,坚决遏制重特大安全事故。</w:t>
      </w:r>
    </w:p>
    <w:p>
      <w:pPr>
        <w:ind w:left="640"/>
        <w:rPr>
          <w:rFonts w:ascii="黑体" w:hAnsi="黑体" w:eastAsia="黑体"/>
          <w:sz w:val="32"/>
        </w:rPr>
      </w:pPr>
      <w:r>
        <w:rPr>
          <w:rFonts w:hint="eastAsia" w:ascii="黑体" w:hAnsi="黑体" w:eastAsia="黑体"/>
          <w:sz w:val="32"/>
        </w:rPr>
        <w:t>二、机构设置及部门决算单位构成</w:t>
      </w:r>
    </w:p>
    <w:p>
      <w:pPr>
        <w:pStyle w:val="97"/>
        <w:ind w:firstLine="640"/>
        <w:rPr>
          <w:rFonts w:ascii="宋体" w:hAnsi="宋体"/>
          <w:sz w:val="32"/>
          <w:szCs w:val="32"/>
        </w:rPr>
      </w:pPr>
      <w:r>
        <w:rPr>
          <w:rFonts w:hint="eastAsia" w:ascii="宋体" w:hAnsi="宋体"/>
          <w:sz w:val="32"/>
          <w:szCs w:val="32"/>
        </w:rPr>
        <w:t>根据上述职责，榆树市应急管理局内设６个机构，分别为</w:t>
      </w:r>
      <w:r>
        <w:rPr>
          <w:rFonts w:hint="eastAsia" w:ascii="宋体" w:hAnsi="宋体"/>
          <w:color w:val="444444"/>
          <w:sz w:val="32"/>
          <w:szCs w:val="32"/>
          <w:shd w:val="clear" w:color="auto" w:fill="FFFFFF"/>
        </w:rPr>
        <w:t>政治工作科（办公室、财会、宣传、教育培训、法制、行政审批等科室）应急管理科、安全生产执法科、安全生产综合协调指导科、灾害处置科、机关党支部。所属三个事业单位:榆树市应急综合行政执法大队、榆树市地震监测中心、榆树市应急救援中心。</w:t>
      </w:r>
    </w:p>
    <w:p>
      <w:pPr>
        <w:pStyle w:val="97"/>
        <w:ind w:firstLine="640"/>
        <w:rPr>
          <w:rFonts w:ascii="宋体" w:hAnsi="宋体"/>
          <w:sz w:val="32"/>
          <w:szCs w:val="32"/>
        </w:rPr>
      </w:pPr>
      <w:r>
        <w:rPr>
          <w:rFonts w:hint="eastAsia" w:ascii="宋体" w:hAnsi="宋体"/>
          <w:sz w:val="32"/>
          <w:szCs w:val="32"/>
        </w:rPr>
        <w:t>纳入榆树市应急管理局2021年度部门决算编制范围的单位包括：</w:t>
      </w:r>
    </w:p>
    <w:p>
      <w:pPr>
        <w:pStyle w:val="97"/>
        <w:ind w:firstLine="640"/>
        <w:rPr>
          <w:rFonts w:ascii="宋体" w:hAnsi="宋体"/>
          <w:sz w:val="32"/>
          <w:szCs w:val="32"/>
        </w:rPr>
      </w:pPr>
      <w:r>
        <w:rPr>
          <w:rFonts w:hint="eastAsia" w:ascii="宋体" w:hAnsi="宋体"/>
          <w:sz w:val="32"/>
          <w:szCs w:val="32"/>
        </w:rPr>
        <w:t>1、榆树市应急管理局本级</w:t>
      </w:r>
    </w:p>
    <w:p>
      <w:pPr>
        <w:pStyle w:val="97"/>
        <w:ind w:firstLine="640"/>
        <w:rPr>
          <w:rFonts w:ascii="宋体" w:hAnsi="宋体"/>
          <w:color w:val="444444"/>
          <w:sz w:val="32"/>
          <w:szCs w:val="32"/>
          <w:shd w:val="clear" w:color="auto" w:fill="FFFFFF"/>
        </w:rPr>
      </w:pPr>
      <w:r>
        <w:rPr>
          <w:rFonts w:hint="eastAsia" w:ascii="宋体" w:hAnsi="宋体"/>
          <w:sz w:val="32"/>
          <w:szCs w:val="32"/>
        </w:rPr>
        <w:t>2、</w:t>
      </w:r>
      <w:r>
        <w:rPr>
          <w:rFonts w:hint="eastAsia" w:ascii="宋体" w:hAnsi="宋体"/>
          <w:color w:val="444444"/>
          <w:sz w:val="32"/>
          <w:szCs w:val="32"/>
          <w:shd w:val="clear" w:color="auto" w:fill="FFFFFF"/>
        </w:rPr>
        <w:t>榆树市应急综合行政执法大队</w:t>
      </w:r>
    </w:p>
    <w:p>
      <w:pPr>
        <w:pStyle w:val="97"/>
        <w:ind w:firstLine="640"/>
        <w:rPr>
          <w:rFonts w:hint="eastAsia" w:ascii="宋体" w:hAnsi="宋体"/>
          <w:color w:val="444444"/>
          <w:sz w:val="32"/>
          <w:szCs w:val="32"/>
          <w:shd w:val="clear" w:color="auto" w:fill="FFFFFF"/>
        </w:rPr>
      </w:pPr>
      <w:r>
        <w:rPr>
          <w:rFonts w:hint="eastAsia" w:ascii="宋体" w:hAnsi="宋体"/>
          <w:color w:val="444444"/>
          <w:sz w:val="32"/>
          <w:szCs w:val="32"/>
          <w:shd w:val="clear" w:color="auto" w:fill="FFFFFF"/>
        </w:rPr>
        <w:t>3、榆树市地震监测中心</w:t>
      </w:r>
    </w:p>
    <w:p>
      <w:pPr>
        <w:pStyle w:val="97"/>
        <w:ind w:firstLine="640"/>
        <w:rPr>
          <w:rFonts w:ascii="宋体" w:hAnsi="宋体"/>
          <w:sz w:val="32"/>
          <w:szCs w:val="32"/>
        </w:rPr>
      </w:pPr>
      <w:r>
        <w:rPr>
          <w:rFonts w:hint="eastAsia" w:ascii="宋体" w:hAnsi="宋体"/>
          <w:color w:val="444444"/>
          <w:sz w:val="32"/>
          <w:szCs w:val="32"/>
          <w:shd w:val="clear" w:color="auto" w:fill="FFFFFF"/>
        </w:rPr>
        <w:t>4、榆树市应急救援中心</w:t>
      </w:r>
    </w:p>
    <w:p>
      <w:pPr>
        <w:pStyle w:val="5"/>
        <w:spacing w:before="0" w:beforeAutospacing="0" w:after="0" w:afterAutospacing="0"/>
        <w:rPr>
          <w:color w:val="000000"/>
          <w:sz w:val="32"/>
          <w:szCs w:val="32"/>
        </w:rPr>
      </w:pPr>
      <w:r>
        <w:rPr>
          <w:rFonts w:hint="eastAsia"/>
          <w:color w:val="000000"/>
          <w:sz w:val="32"/>
          <w:szCs w:val="32"/>
        </w:rPr>
        <w:t xml:space="preserve">    2021年实有人员61人，其中：在职人员61人，离退休人员 9 人。</w:t>
      </w: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r>
        <w:rPr>
          <w:rFonts w:hint="eastAsia" w:ascii="方正小标宋简体" w:hAnsi="方正小标宋简体" w:eastAsia="方正小标宋简体"/>
          <w:sz w:val="44"/>
        </w:rPr>
        <w:t xml:space="preserve">第二部分 </w:t>
      </w:r>
      <w:r>
        <w:rPr>
          <w:rFonts w:ascii="方正小标宋简体" w:hAnsi="方正小标宋简体" w:eastAsia="方正小标宋简体"/>
          <w:sz w:val="44"/>
        </w:rPr>
        <w:t>2021年</w:t>
      </w:r>
      <w:r>
        <w:rPr>
          <w:rFonts w:hint="eastAsia" w:ascii="方正小标宋简体" w:hAnsi="方正小标宋简体" w:eastAsia="方正小标宋简体"/>
          <w:sz w:val="44"/>
        </w:rPr>
        <w:t>度部门决算表</w:t>
      </w:r>
    </w:p>
    <w:p>
      <w:pPr>
        <w:numPr>
          <w:ilvl w:val="0"/>
          <w:numId w:val="1"/>
        </w:numPr>
        <w:ind w:firstLine="640" w:firstLineChars="200"/>
        <w:rPr>
          <w:rFonts w:ascii="黑体" w:hAnsi="黑体" w:eastAsia="黑体"/>
          <w:sz w:val="32"/>
        </w:rPr>
      </w:pPr>
      <w:r>
        <w:rPr>
          <w:rFonts w:hint="eastAsia" w:ascii="黑体" w:hAnsi="黑体" w:eastAsia="黑体"/>
          <w:sz w:val="32"/>
        </w:rPr>
        <w:t>收入支出决算总表</w:t>
      </w:r>
    </w:p>
    <w:p>
      <w:pPr>
        <w:rPr>
          <w:rFonts w:ascii="黑体" w:hAnsi="黑体" w:eastAsia="黑体"/>
          <w:sz w:val="32"/>
        </w:rPr>
      </w:pPr>
      <w:r>
        <w:rPr>
          <w:rFonts w:ascii="黑体" w:hAnsi="黑体" w:eastAsia="黑体"/>
          <w:sz w:val="32"/>
        </w:rPr>
        <w:drawing>
          <wp:inline distT="0" distB="0" distL="0" distR="0">
            <wp:extent cx="5274310" cy="2803525"/>
            <wp:effectExtent l="19050" t="0" r="2540" b="0"/>
            <wp:docPr id="1" name="图片 0" descr="汇总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汇总1.jpeg"/>
                    <pic:cNvPicPr>
                      <a:picLocks noChangeAspect="1"/>
                    </pic:cNvPicPr>
                  </pic:nvPicPr>
                  <pic:blipFill>
                    <a:blip r:embed="rId5" cstate="print"/>
                    <a:stretch>
                      <a:fillRect/>
                    </a:stretch>
                  </pic:blipFill>
                  <pic:spPr>
                    <a:xfrm>
                      <a:off x="0" y="0"/>
                      <a:ext cx="5274310" cy="2803525"/>
                    </a:xfrm>
                    <a:prstGeom prst="rect">
                      <a:avLst/>
                    </a:prstGeom>
                  </pic:spPr>
                </pic:pic>
              </a:graphicData>
            </a:graphic>
          </wp:inline>
        </w:drawing>
      </w:r>
    </w:p>
    <w:p>
      <w:pPr>
        <w:ind w:left="640"/>
        <w:rPr>
          <w:rFonts w:ascii="黑体" w:hAnsi="黑体" w:eastAsia="黑体"/>
          <w:sz w:val="32"/>
        </w:rPr>
      </w:pPr>
      <w:r>
        <w:rPr>
          <w:rFonts w:hint="eastAsia" w:ascii="黑体" w:hAnsi="黑体" w:eastAsia="黑体"/>
          <w:sz w:val="32"/>
        </w:rPr>
        <w:t>二、收入决算表</w:t>
      </w:r>
    </w:p>
    <w:p>
      <w:pPr>
        <w:rPr>
          <w:rFonts w:ascii="黑体" w:hAnsi="黑体" w:eastAsia="黑体"/>
          <w:sz w:val="32"/>
        </w:rPr>
      </w:pPr>
      <w:r>
        <w:rPr>
          <w:rFonts w:ascii="黑体" w:hAnsi="黑体" w:eastAsia="黑体"/>
          <w:sz w:val="32"/>
        </w:rPr>
        <w:drawing>
          <wp:inline distT="0" distB="0" distL="0" distR="0">
            <wp:extent cx="5274310" cy="3342005"/>
            <wp:effectExtent l="19050" t="0" r="2540" b="0"/>
            <wp:docPr id="2" name="图片 1" descr="汇总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汇总2.jpeg"/>
                    <pic:cNvPicPr>
                      <a:picLocks noChangeAspect="1"/>
                    </pic:cNvPicPr>
                  </pic:nvPicPr>
                  <pic:blipFill>
                    <a:blip r:embed="rId6" cstate="print"/>
                    <a:stretch>
                      <a:fillRect/>
                    </a:stretch>
                  </pic:blipFill>
                  <pic:spPr>
                    <a:xfrm>
                      <a:off x="0" y="0"/>
                      <a:ext cx="5274310" cy="3342005"/>
                    </a:xfrm>
                    <a:prstGeom prst="rect">
                      <a:avLst/>
                    </a:prstGeom>
                  </pic:spPr>
                </pic:pic>
              </a:graphicData>
            </a:graphic>
          </wp:inline>
        </w:drawing>
      </w:r>
    </w:p>
    <w:p>
      <w:pPr>
        <w:ind w:left="640"/>
        <w:rPr>
          <w:rFonts w:ascii="黑体" w:hAnsi="黑体" w:eastAsia="黑体"/>
          <w:sz w:val="32"/>
        </w:rPr>
      </w:pPr>
    </w:p>
    <w:p>
      <w:pPr>
        <w:ind w:left="640"/>
        <w:rPr>
          <w:rFonts w:ascii="黑体" w:hAnsi="黑体" w:eastAsia="黑体"/>
          <w:sz w:val="32"/>
        </w:rPr>
      </w:pPr>
      <w:r>
        <w:rPr>
          <w:rFonts w:hint="eastAsia" w:ascii="黑体" w:hAnsi="黑体" w:eastAsia="黑体"/>
          <w:sz w:val="32"/>
        </w:rPr>
        <w:t>三、支出决算表</w:t>
      </w:r>
    </w:p>
    <w:p>
      <w:pPr>
        <w:ind w:left="142"/>
        <w:rPr>
          <w:rFonts w:ascii="黑体" w:hAnsi="黑体" w:eastAsia="黑体"/>
          <w:sz w:val="32"/>
        </w:rPr>
      </w:pPr>
      <w:r>
        <w:rPr>
          <w:rFonts w:ascii="黑体" w:hAnsi="黑体" w:eastAsia="黑体"/>
          <w:sz w:val="32"/>
        </w:rPr>
        <w:drawing>
          <wp:inline distT="0" distB="0" distL="0" distR="0">
            <wp:extent cx="5274310" cy="3514725"/>
            <wp:effectExtent l="19050" t="0" r="2540" b="0"/>
            <wp:docPr id="3" name="图片 2" descr="汇总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汇总3.jpeg"/>
                    <pic:cNvPicPr>
                      <a:picLocks noChangeAspect="1"/>
                    </pic:cNvPicPr>
                  </pic:nvPicPr>
                  <pic:blipFill>
                    <a:blip r:embed="rId7" cstate="print"/>
                    <a:stretch>
                      <a:fillRect/>
                    </a:stretch>
                  </pic:blipFill>
                  <pic:spPr>
                    <a:xfrm>
                      <a:off x="0" y="0"/>
                      <a:ext cx="5274310" cy="3514725"/>
                    </a:xfrm>
                    <a:prstGeom prst="rect">
                      <a:avLst/>
                    </a:prstGeom>
                  </pic:spPr>
                </pic:pic>
              </a:graphicData>
            </a:graphic>
          </wp:inline>
        </w:drawing>
      </w:r>
    </w:p>
    <w:p>
      <w:pPr>
        <w:ind w:firstLine="640" w:firstLineChars="200"/>
        <w:rPr>
          <w:rFonts w:ascii="黑体" w:hAnsi="黑体" w:eastAsia="黑体"/>
          <w:sz w:val="32"/>
        </w:rPr>
      </w:pPr>
      <w:r>
        <w:rPr>
          <w:rFonts w:hint="eastAsia" w:ascii="黑体" w:hAnsi="黑体" w:eastAsia="黑体"/>
          <w:sz w:val="32"/>
        </w:rPr>
        <w:t>四、财政拨款收入支出决算总表</w:t>
      </w:r>
    </w:p>
    <w:p>
      <w:pPr>
        <w:rPr>
          <w:rFonts w:ascii="黑体" w:hAnsi="黑体" w:eastAsia="黑体"/>
          <w:sz w:val="32"/>
        </w:rPr>
      </w:pPr>
      <w:r>
        <w:rPr>
          <w:rFonts w:ascii="黑体" w:hAnsi="黑体" w:eastAsia="黑体"/>
          <w:sz w:val="32"/>
        </w:rPr>
        <w:drawing>
          <wp:inline distT="0" distB="0" distL="0" distR="0">
            <wp:extent cx="5274310" cy="4076700"/>
            <wp:effectExtent l="19050" t="0" r="2540" b="0"/>
            <wp:docPr id="4" name="图片 3" descr="汇总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汇总4.jpeg"/>
                    <pic:cNvPicPr>
                      <a:picLocks noChangeAspect="1"/>
                    </pic:cNvPicPr>
                  </pic:nvPicPr>
                  <pic:blipFill>
                    <a:blip r:embed="rId8" cstate="print"/>
                    <a:stretch>
                      <a:fillRect/>
                    </a:stretch>
                  </pic:blipFill>
                  <pic:spPr>
                    <a:xfrm>
                      <a:off x="0" y="0"/>
                      <a:ext cx="5274310" cy="4076700"/>
                    </a:xfrm>
                    <a:prstGeom prst="rect">
                      <a:avLst/>
                    </a:prstGeom>
                  </pic:spPr>
                </pic:pic>
              </a:graphicData>
            </a:graphic>
          </wp:inline>
        </w:drawing>
      </w:r>
    </w:p>
    <w:p>
      <w:pPr>
        <w:rPr>
          <w:rFonts w:ascii="黑体" w:hAnsi="黑体" w:eastAsia="黑体"/>
          <w:sz w:val="32"/>
        </w:rPr>
      </w:pPr>
    </w:p>
    <w:p>
      <w:pPr>
        <w:ind w:firstLine="640" w:firstLineChars="200"/>
        <w:rPr>
          <w:rFonts w:ascii="黑体" w:hAnsi="黑体" w:eastAsia="黑体"/>
          <w:sz w:val="32"/>
        </w:rPr>
      </w:pPr>
      <w:r>
        <w:rPr>
          <w:rFonts w:hint="eastAsia" w:ascii="黑体" w:hAnsi="黑体" w:eastAsia="黑体"/>
          <w:sz w:val="32"/>
        </w:rPr>
        <w:t>五、一般公共预算财政拨款支出决算表</w:t>
      </w:r>
    </w:p>
    <w:p>
      <w:pPr>
        <w:rPr>
          <w:rFonts w:ascii="黑体" w:hAnsi="黑体" w:eastAsia="黑体"/>
          <w:sz w:val="32"/>
        </w:rPr>
      </w:pPr>
      <w:r>
        <w:rPr>
          <w:rFonts w:ascii="黑体" w:hAnsi="黑体" w:eastAsia="黑体"/>
          <w:sz w:val="32"/>
        </w:rPr>
        <w:drawing>
          <wp:inline distT="0" distB="0" distL="0" distR="0">
            <wp:extent cx="5274310" cy="3831590"/>
            <wp:effectExtent l="19050" t="0" r="2540" b="0"/>
            <wp:docPr id="5" name="图片 4" descr="汇总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汇总5.jpeg"/>
                    <pic:cNvPicPr>
                      <a:picLocks noChangeAspect="1"/>
                    </pic:cNvPicPr>
                  </pic:nvPicPr>
                  <pic:blipFill>
                    <a:blip r:embed="rId9" cstate="print"/>
                    <a:stretch>
                      <a:fillRect/>
                    </a:stretch>
                  </pic:blipFill>
                  <pic:spPr>
                    <a:xfrm>
                      <a:off x="0" y="0"/>
                      <a:ext cx="5274310" cy="3831590"/>
                    </a:xfrm>
                    <a:prstGeom prst="rect">
                      <a:avLst/>
                    </a:prstGeom>
                  </pic:spPr>
                </pic:pic>
              </a:graphicData>
            </a:graphic>
          </wp:inline>
        </w:drawing>
      </w:r>
    </w:p>
    <w:p>
      <w:pPr>
        <w:ind w:firstLine="640" w:firstLineChars="200"/>
        <w:rPr>
          <w:rFonts w:ascii="黑体" w:hAnsi="黑体" w:eastAsia="黑体"/>
          <w:sz w:val="32"/>
        </w:rPr>
      </w:pPr>
      <w:r>
        <w:rPr>
          <w:rFonts w:hint="eastAsia" w:ascii="黑体" w:hAnsi="黑体" w:eastAsia="黑体"/>
          <w:sz w:val="32"/>
        </w:rPr>
        <w:t>六、一般公共预算财政拨款基本支出决算表</w:t>
      </w:r>
    </w:p>
    <w:p>
      <w:pPr>
        <w:rPr>
          <w:rFonts w:ascii="黑体" w:hAnsi="黑体" w:eastAsia="黑体"/>
          <w:sz w:val="32"/>
        </w:rPr>
      </w:pPr>
      <w:r>
        <w:rPr>
          <w:rFonts w:ascii="黑体" w:hAnsi="黑体" w:eastAsia="黑体"/>
          <w:sz w:val="32"/>
        </w:rPr>
        <w:drawing>
          <wp:inline distT="0" distB="0" distL="0" distR="0">
            <wp:extent cx="5267325" cy="3657600"/>
            <wp:effectExtent l="19050" t="0" r="9523" b="0"/>
            <wp:docPr id="7" name="图片 6" descr="汇总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汇总6.jpeg"/>
                    <pic:cNvPicPr>
                      <a:picLocks noChangeAspect="1"/>
                    </pic:cNvPicPr>
                  </pic:nvPicPr>
                  <pic:blipFill>
                    <a:blip r:embed="rId10" cstate="print"/>
                    <a:stretch>
                      <a:fillRect/>
                    </a:stretch>
                  </pic:blipFill>
                  <pic:spPr>
                    <a:xfrm>
                      <a:off x="0" y="0"/>
                      <a:ext cx="5274310" cy="3662449"/>
                    </a:xfrm>
                    <a:prstGeom prst="rect">
                      <a:avLst/>
                    </a:prstGeom>
                  </pic:spPr>
                </pic:pic>
              </a:graphicData>
            </a:graphic>
          </wp:inline>
        </w:drawing>
      </w:r>
    </w:p>
    <w:p>
      <w:pPr>
        <w:ind w:firstLine="640" w:firstLineChars="200"/>
        <w:rPr>
          <w:rFonts w:ascii="黑体" w:hAnsi="黑体" w:eastAsia="黑体"/>
          <w:sz w:val="32"/>
        </w:rPr>
      </w:pPr>
    </w:p>
    <w:p>
      <w:pPr>
        <w:ind w:firstLine="640" w:firstLineChars="200"/>
        <w:rPr>
          <w:rFonts w:ascii="黑体" w:hAnsi="黑体" w:eastAsia="黑体"/>
          <w:sz w:val="32"/>
        </w:rPr>
      </w:pPr>
      <w:r>
        <w:rPr>
          <w:rFonts w:hint="eastAsia" w:ascii="黑体" w:hAnsi="黑体" w:eastAsia="黑体"/>
          <w:sz w:val="32"/>
        </w:rPr>
        <w:t>七、一般公共预算财政拨款“三公”经费支出决算表</w:t>
      </w:r>
    </w:p>
    <w:p>
      <w:pPr>
        <w:rPr>
          <w:rFonts w:ascii="黑体" w:hAnsi="黑体" w:eastAsia="黑体"/>
          <w:sz w:val="32"/>
        </w:rPr>
      </w:pPr>
      <w:r>
        <w:rPr>
          <w:rFonts w:hint="eastAsia" w:ascii="黑体" w:hAnsi="黑体" w:eastAsia="黑体"/>
          <w:sz w:val="32"/>
        </w:rPr>
        <w:drawing>
          <wp:inline distT="0" distB="0" distL="0" distR="0">
            <wp:extent cx="5676900" cy="2419350"/>
            <wp:effectExtent l="19050" t="0" r="0" b="0"/>
            <wp:docPr id="18" name="图片 17" descr="局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局07.jpeg"/>
                    <pic:cNvPicPr>
                      <a:picLocks noChangeAspect="1"/>
                    </pic:cNvPicPr>
                  </pic:nvPicPr>
                  <pic:blipFill>
                    <a:blip r:embed="rId11" cstate="print"/>
                    <a:stretch>
                      <a:fillRect/>
                    </a:stretch>
                  </pic:blipFill>
                  <pic:spPr>
                    <a:xfrm>
                      <a:off x="0" y="0"/>
                      <a:ext cx="5676900" cy="2419350"/>
                    </a:xfrm>
                    <a:prstGeom prst="rect">
                      <a:avLst/>
                    </a:prstGeom>
                  </pic:spPr>
                </pic:pic>
              </a:graphicData>
            </a:graphic>
          </wp:inline>
        </w:drawing>
      </w:r>
    </w:p>
    <w:p>
      <w:pPr>
        <w:ind w:firstLine="640" w:firstLineChars="200"/>
        <w:rPr>
          <w:rFonts w:ascii="黑体" w:hAnsi="黑体" w:eastAsia="黑体"/>
          <w:sz w:val="32"/>
        </w:rPr>
      </w:pPr>
      <w:r>
        <w:rPr>
          <w:rFonts w:hint="eastAsia" w:ascii="黑体" w:hAnsi="黑体" w:eastAsia="黑体"/>
          <w:sz w:val="32"/>
        </w:rPr>
        <w:t>八、政府性基金预算财政拨款收入支出决算表</w:t>
      </w:r>
    </w:p>
    <w:p>
      <w:pPr>
        <w:ind w:left="2"/>
        <w:rPr>
          <w:rFonts w:ascii="黑体" w:hAnsi="黑体" w:eastAsia="黑体"/>
          <w:sz w:val="24"/>
          <w:szCs w:val="24"/>
        </w:rPr>
      </w:pPr>
      <w:r>
        <w:rPr>
          <w:rFonts w:ascii="黑体" w:hAnsi="黑体" w:eastAsia="黑体"/>
          <w:sz w:val="32"/>
        </w:rPr>
        <w:drawing>
          <wp:inline distT="0" distB="0" distL="0" distR="0">
            <wp:extent cx="5448300" cy="2333625"/>
            <wp:effectExtent l="19050" t="0" r="0" b="0"/>
            <wp:docPr id="8" name="图片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8"/>
                    <pic:cNvPicPr>
                      <a:picLocks noChangeAspect="1" noChangeArrowheads="1"/>
                    </pic:cNvPicPr>
                  </pic:nvPicPr>
                  <pic:blipFill>
                    <a:blip r:embed="rId12" cstate="print"/>
                    <a:stretch>
                      <a:fillRect/>
                    </a:stretch>
                  </pic:blipFill>
                  <pic:spPr>
                    <a:xfrm>
                      <a:off x="0" y="0"/>
                      <a:ext cx="5448300" cy="2333625"/>
                    </a:xfrm>
                    <a:prstGeom prst="rect">
                      <a:avLst/>
                    </a:prstGeom>
                    <a:noFill/>
                    <a:ln w="9525" cmpd="sng">
                      <a:noFill/>
                      <a:miter lim="800000"/>
                      <a:headEnd/>
                      <a:tailEnd/>
                    </a:ln>
                  </pic:spPr>
                </pic:pic>
              </a:graphicData>
            </a:graphic>
          </wp:inline>
        </w:drawing>
      </w:r>
      <w:r>
        <w:rPr>
          <w:rFonts w:hint="eastAsia" w:ascii="黑体" w:hAnsi="黑体" w:eastAsia="黑体"/>
          <w:sz w:val="32"/>
        </w:rPr>
        <w:t xml:space="preserve">   </w:t>
      </w:r>
      <w:r>
        <w:rPr>
          <w:rFonts w:hint="eastAsia" w:ascii="黑体" w:hAnsi="黑体" w:eastAsia="黑体"/>
          <w:sz w:val="20"/>
        </w:rPr>
        <w:t>注：本单位本年度无政府性基金财政拨款收入、支出数据。</w:t>
      </w:r>
    </w:p>
    <w:p>
      <w:pPr>
        <w:spacing w:beforeLines="100"/>
        <w:ind w:firstLine="640" w:firstLineChars="200"/>
        <w:rPr>
          <w:rFonts w:ascii="黑体" w:hAnsi="黑体" w:eastAsia="黑体"/>
          <w:sz w:val="32"/>
        </w:rPr>
      </w:pPr>
      <w:r>
        <w:rPr>
          <w:rFonts w:hint="eastAsia" w:ascii="黑体" w:hAnsi="黑体" w:eastAsia="黑体"/>
          <w:sz w:val="32"/>
        </w:rPr>
        <w:t>九、国有</w:t>
      </w:r>
      <w:r>
        <w:rPr>
          <w:rFonts w:ascii="黑体" w:hAnsi="黑体" w:eastAsia="黑体"/>
          <w:sz w:val="32"/>
        </w:rPr>
        <w:t>资本经营预算</w:t>
      </w:r>
      <w:r>
        <w:rPr>
          <w:rFonts w:hint="eastAsia" w:ascii="黑体" w:hAnsi="黑体" w:eastAsia="黑体"/>
          <w:sz w:val="32"/>
        </w:rPr>
        <w:t>财政拨款支出</w:t>
      </w:r>
      <w:r>
        <w:rPr>
          <w:rFonts w:ascii="黑体" w:hAnsi="黑体" w:eastAsia="黑体"/>
          <w:sz w:val="32"/>
        </w:rPr>
        <w:t>决算表</w:t>
      </w:r>
    </w:p>
    <w:p>
      <w:pPr>
        <w:rPr>
          <w:rFonts w:ascii="黑体" w:hAnsi="黑体" w:eastAsia="黑体"/>
          <w:sz w:val="32"/>
        </w:rPr>
      </w:pPr>
      <w:r>
        <w:rPr>
          <w:rFonts w:ascii="黑体" w:hAnsi="黑体" w:eastAsia="黑体"/>
          <w:sz w:val="32"/>
        </w:rPr>
        <w:drawing>
          <wp:inline distT="0" distB="0" distL="0" distR="0">
            <wp:extent cx="5267325" cy="1752600"/>
            <wp:effectExtent l="19050" t="0" r="9525" b="0"/>
            <wp:docPr id="9" name="图片 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
                    <pic:cNvPicPr>
                      <a:picLocks noChangeAspect="1" noChangeArrowheads="1"/>
                    </pic:cNvPicPr>
                  </pic:nvPicPr>
                  <pic:blipFill>
                    <a:blip r:embed="rId13"/>
                    <a:srcRect/>
                    <a:stretch>
                      <a:fillRect/>
                    </a:stretch>
                  </pic:blipFill>
                  <pic:spPr>
                    <a:xfrm>
                      <a:off x="0" y="0"/>
                      <a:ext cx="5267325" cy="1752600"/>
                    </a:xfrm>
                    <a:prstGeom prst="rect">
                      <a:avLst/>
                    </a:prstGeom>
                    <a:noFill/>
                    <a:ln w="9525" cmpd="sng">
                      <a:noFill/>
                      <a:miter lim="800000"/>
                      <a:headEnd/>
                      <a:tailEnd/>
                    </a:ln>
                  </pic:spPr>
                </pic:pic>
              </a:graphicData>
            </a:graphic>
          </wp:inline>
        </w:drawing>
      </w:r>
    </w:p>
    <w:p>
      <w:pPr>
        <w:ind w:firstLine="400" w:firstLineChars="200"/>
        <w:rPr>
          <w:rFonts w:ascii="黑体" w:hAnsi="黑体" w:eastAsia="黑体"/>
          <w:sz w:val="32"/>
        </w:rPr>
      </w:pPr>
      <w:r>
        <w:rPr>
          <w:rFonts w:hint="eastAsia" w:ascii="黑体" w:hAnsi="黑体" w:eastAsia="黑体"/>
          <w:sz w:val="20"/>
        </w:rPr>
        <w:t>注：本单位本年度国有资本经营预算财政拨款收入、支出数据。</w:t>
      </w:r>
    </w:p>
    <w:p>
      <w:pPr>
        <w:ind w:firstLine="640" w:firstLineChars="200"/>
        <w:rPr>
          <w:rFonts w:ascii="黑体" w:hAnsi="黑体" w:eastAsia="黑体"/>
          <w:sz w:val="32"/>
        </w:rPr>
      </w:pPr>
    </w:p>
    <w:p>
      <w:pPr>
        <w:ind w:firstLine="640" w:firstLineChars="200"/>
        <w:rPr>
          <w:rFonts w:ascii="黑体" w:hAnsi="黑体" w:eastAsia="黑体"/>
          <w:sz w:val="32"/>
        </w:rPr>
      </w:pPr>
      <w:r>
        <w:rPr>
          <w:rFonts w:hint="eastAsia" w:ascii="黑体" w:hAnsi="黑体" w:eastAsia="黑体"/>
          <w:sz w:val="32"/>
        </w:rPr>
        <w:t>十、部门预算项目支出绩效自评表</w:t>
      </w:r>
    </w:p>
    <w:p>
      <w:pPr>
        <w:jc w:val="center"/>
      </w:pPr>
    </w:p>
    <w:p>
      <w:pPr>
        <w:jc w:val="center"/>
        <w:rPr>
          <w:rFonts w:ascii="仿宋" w:hAnsi="仿宋" w:eastAsia="仿宋"/>
          <w:sz w:val="32"/>
        </w:rPr>
      </w:pPr>
      <w:r>
        <w:rPr>
          <w:rFonts w:hint="eastAsia" w:ascii="仿宋" w:hAnsi="仿宋" w:eastAsia="仿宋"/>
          <w:sz w:val="32"/>
        </w:rPr>
        <w:drawing>
          <wp:inline distT="0" distB="0" distL="0" distR="0">
            <wp:extent cx="5444490" cy="7400925"/>
            <wp:effectExtent l="19050" t="0" r="3474" b="0"/>
            <wp:docPr id="22" name="图片 21" descr="局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局10.jpeg"/>
                    <pic:cNvPicPr>
                      <a:picLocks noChangeAspect="1"/>
                    </pic:cNvPicPr>
                  </pic:nvPicPr>
                  <pic:blipFill>
                    <a:blip r:embed="rId14" cstate="print"/>
                    <a:stretch>
                      <a:fillRect/>
                    </a:stretch>
                  </pic:blipFill>
                  <pic:spPr>
                    <a:xfrm>
                      <a:off x="0" y="0"/>
                      <a:ext cx="5444826" cy="7400925"/>
                    </a:xfrm>
                    <a:prstGeom prst="rect">
                      <a:avLst/>
                    </a:prstGeom>
                  </pic:spPr>
                </pic:pic>
              </a:graphicData>
            </a:graphic>
          </wp:inline>
        </w:drawing>
      </w:r>
    </w:p>
    <w:p>
      <w:pPr>
        <w:jc w:val="center"/>
        <w:rPr>
          <w:rFonts w:ascii="方正小标宋简体" w:hAnsi="方正小标宋简体" w:eastAsia="方正小标宋简体"/>
          <w:sz w:val="44"/>
        </w:rPr>
      </w:pPr>
    </w:p>
    <w:p>
      <w:pPr>
        <w:jc w:val="center"/>
        <w:rPr>
          <w:rFonts w:ascii="方正小标宋简体" w:hAnsi="方正小标宋简体" w:eastAsia="方正小标宋简体"/>
          <w:sz w:val="44"/>
        </w:rPr>
      </w:pPr>
      <w:r>
        <w:rPr>
          <w:rFonts w:hint="eastAsia" w:ascii="方正小标宋简体" w:hAnsi="方正小标宋简体" w:eastAsia="方正小标宋简体"/>
          <w:sz w:val="44"/>
        </w:rPr>
        <w:t>第三部分 2021年度部门决算情况说明</w:t>
      </w:r>
    </w:p>
    <w:p>
      <w:pPr>
        <w:rPr>
          <w:rFonts w:ascii="仿宋" w:hAnsi="仿宋" w:eastAsia="仿宋"/>
          <w:sz w:val="32"/>
        </w:rPr>
      </w:pP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一、</w:t>
      </w:r>
      <w:r>
        <w:rPr>
          <w:rFonts w:hint="eastAsia" w:ascii="黑体" w:hAnsi="黑体" w:eastAsia="黑体"/>
          <w:sz w:val="32"/>
          <w:szCs w:val="30"/>
        </w:rPr>
        <w:t>收入支出决算总体情况说明</w:t>
      </w:r>
    </w:p>
    <w:p>
      <w:pPr>
        <w:rPr>
          <w:rFonts w:ascii="仿宋" w:hAnsi="仿宋" w:eastAsia="仿宋"/>
          <w:sz w:val="32"/>
          <w:szCs w:val="30"/>
        </w:rPr>
      </w:pPr>
      <w:r>
        <w:rPr>
          <w:rFonts w:hint="eastAsia" w:ascii="仿宋" w:hAnsi="仿宋" w:eastAsia="仿宋"/>
          <w:sz w:val="32"/>
        </w:rPr>
        <w:t xml:space="preserve">    2021年度收、支总计各2753.86</w:t>
      </w:r>
      <w:r>
        <w:rPr>
          <w:rFonts w:hint="eastAsia" w:ascii="仿宋" w:hAnsi="仿宋" w:eastAsia="仿宋"/>
          <w:sz w:val="32"/>
          <w:szCs w:val="30"/>
        </w:rPr>
        <w:t>万元。与2020年相比，收、支总计各增加1387.82万元，增长101.6 %。主要原因：中央自然灾害救灾专项资金投入增加。</w:t>
      </w: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二、</w:t>
      </w:r>
      <w:r>
        <w:rPr>
          <w:rFonts w:hint="eastAsia" w:ascii="黑体" w:hAnsi="黑体" w:eastAsia="黑体"/>
          <w:sz w:val="32"/>
          <w:szCs w:val="30"/>
        </w:rPr>
        <w:t>收入决算情况说明</w:t>
      </w:r>
    </w:p>
    <w:p>
      <w:pPr>
        <w:rPr>
          <w:rFonts w:ascii="仿宋" w:hAnsi="仿宋" w:eastAsia="仿宋"/>
          <w:sz w:val="32"/>
        </w:rPr>
      </w:pPr>
      <w:r>
        <w:rPr>
          <w:rFonts w:hint="eastAsia" w:ascii="仿宋" w:hAnsi="仿宋" w:eastAsia="仿宋"/>
          <w:sz w:val="32"/>
        </w:rPr>
        <w:t xml:space="preserve">    本年收入合计2702.24万元，其中：财政拨款收入2702.24万元，占100 %。</w:t>
      </w: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三、</w:t>
      </w:r>
      <w:r>
        <w:rPr>
          <w:rFonts w:hint="eastAsia" w:ascii="黑体" w:hAnsi="黑体" w:eastAsia="黑体"/>
          <w:sz w:val="32"/>
          <w:szCs w:val="30"/>
        </w:rPr>
        <w:t>支出决算情况说明</w:t>
      </w:r>
    </w:p>
    <w:p>
      <w:pPr>
        <w:rPr>
          <w:rFonts w:ascii="仿宋" w:hAnsi="仿宋" w:eastAsia="仿宋"/>
          <w:sz w:val="32"/>
        </w:rPr>
      </w:pPr>
      <w:r>
        <w:rPr>
          <w:rFonts w:hint="eastAsia" w:ascii="仿宋" w:hAnsi="仿宋" w:eastAsia="仿宋"/>
          <w:sz w:val="32"/>
        </w:rPr>
        <w:t xml:space="preserve">    本年支出合计2753.86万元，其中：基本支出1007.08万元，占36.57 %；项目支出1746.78万元，占63.43%。基本支出中，人员经费572.44万元，占56.84 %；公用经费434.64 万元，占43.16%。</w:t>
      </w: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四、</w:t>
      </w:r>
      <w:r>
        <w:rPr>
          <w:rFonts w:hint="eastAsia" w:ascii="黑体" w:hAnsi="黑体" w:eastAsia="黑体"/>
          <w:sz w:val="32"/>
          <w:szCs w:val="30"/>
        </w:rPr>
        <w:t>财政拨款收入支出决算总体情况说明</w:t>
      </w:r>
    </w:p>
    <w:p>
      <w:pPr>
        <w:rPr>
          <w:rFonts w:ascii="仿宋" w:hAnsi="仿宋" w:eastAsia="仿宋"/>
          <w:sz w:val="32"/>
          <w:szCs w:val="30"/>
        </w:rPr>
      </w:pPr>
      <w:r>
        <w:rPr>
          <w:rFonts w:hint="eastAsia" w:ascii="仿宋" w:hAnsi="仿宋" w:eastAsia="仿宋"/>
          <w:sz w:val="32"/>
        </w:rPr>
        <w:t xml:space="preserve">   2021年</w:t>
      </w:r>
      <w:r>
        <w:rPr>
          <w:rFonts w:hint="eastAsia" w:ascii="仿宋" w:hAnsi="仿宋" w:eastAsia="仿宋"/>
          <w:sz w:val="32"/>
          <w:szCs w:val="30"/>
        </w:rPr>
        <w:t>度财政拨款收、支总计各2753.86万元，与2020年相比，财政拨款收、支总计各增加1387.82万元，增长101.6 %。主要原因: 中央自然灾害救灾专项资金投入增加。</w:t>
      </w: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五、</w:t>
      </w:r>
      <w:r>
        <w:rPr>
          <w:rFonts w:hint="eastAsia" w:ascii="黑体" w:hAnsi="黑体" w:eastAsia="黑体"/>
          <w:sz w:val="32"/>
          <w:szCs w:val="30"/>
        </w:rPr>
        <w:t>一般公共预算财政拨款支出决算情况说明</w:t>
      </w:r>
    </w:p>
    <w:p>
      <w:pPr>
        <w:ind w:firstLine="640"/>
        <w:rPr>
          <w:rFonts w:ascii="楷体" w:hAnsi="楷体" w:eastAsia="楷体"/>
          <w:b/>
          <w:bCs/>
          <w:sz w:val="32"/>
        </w:rPr>
      </w:pPr>
      <w:r>
        <w:rPr>
          <w:rFonts w:hint="eastAsia" w:ascii="楷体" w:hAnsi="楷体" w:eastAsia="楷体"/>
          <w:b/>
          <w:bCs/>
          <w:sz w:val="32"/>
        </w:rPr>
        <w:t>（一）一般公共</w:t>
      </w:r>
      <w:r>
        <w:rPr>
          <w:rFonts w:ascii="楷体" w:hAnsi="楷体" w:eastAsia="楷体"/>
          <w:b/>
          <w:bCs/>
          <w:sz w:val="32"/>
        </w:rPr>
        <w:t>预算</w:t>
      </w:r>
      <w:r>
        <w:rPr>
          <w:rFonts w:hint="eastAsia" w:ascii="楷体" w:hAnsi="楷体" w:eastAsia="楷体"/>
          <w:b/>
          <w:bCs/>
          <w:sz w:val="32"/>
        </w:rPr>
        <w:t>财政拨款支出决算总体情况</w:t>
      </w:r>
    </w:p>
    <w:p>
      <w:pPr>
        <w:ind w:firstLine="640"/>
        <w:rPr>
          <w:rFonts w:ascii="仿宋" w:hAnsi="仿宋" w:eastAsia="仿宋"/>
          <w:sz w:val="32"/>
          <w:szCs w:val="30"/>
        </w:rPr>
      </w:pPr>
      <w:r>
        <w:rPr>
          <w:rFonts w:hint="eastAsia" w:ascii="仿宋" w:hAnsi="仿宋" w:eastAsia="仿宋"/>
          <w:sz w:val="32"/>
        </w:rPr>
        <w:t>2021年</w:t>
      </w:r>
      <w:r>
        <w:rPr>
          <w:rFonts w:hint="eastAsia" w:ascii="仿宋" w:hAnsi="仿宋" w:eastAsia="仿宋"/>
          <w:sz w:val="32"/>
          <w:szCs w:val="30"/>
        </w:rPr>
        <w:t>度一般</w:t>
      </w:r>
      <w:r>
        <w:rPr>
          <w:rFonts w:ascii="仿宋" w:hAnsi="仿宋" w:eastAsia="仿宋"/>
          <w:sz w:val="32"/>
          <w:szCs w:val="30"/>
        </w:rPr>
        <w:t>公共预算</w:t>
      </w:r>
      <w:r>
        <w:rPr>
          <w:rFonts w:hint="eastAsia" w:ascii="仿宋" w:hAnsi="仿宋" w:eastAsia="仿宋"/>
          <w:sz w:val="32"/>
          <w:szCs w:val="30"/>
        </w:rPr>
        <w:t>财政拨款支出2753.86万元，占本年支出合计的100 %。与2020年相比，一般</w:t>
      </w:r>
      <w:r>
        <w:rPr>
          <w:rFonts w:ascii="仿宋" w:hAnsi="仿宋" w:eastAsia="仿宋"/>
          <w:sz w:val="32"/>
          <w:szCs w:val="30"/>
        </w:rPr>
        <w:t>公共预算</w:t>
      </w:r>
      <w:r>
        <w:rPr>
          <w:rFonts w:hint="eastAsia" w:ascii="仿宋" w:hAnsi="仿宋" w:eastAsia="仿宋"/>
          <w:sz w:val="32"/>
          <w:szCs w:val="30"/>
        </w:rPr>
        <w:t>财政拨款支出增加1387.82 万元，增长101.6 %。主要原因：中央自然灾害救灾专项资金投入增加。</w:t>
      </w:r>
    </w:p>
    <w:p>
      <w:pPr>
        <w:rPr>
          <w:rFonts w:ascii="楷体" w:hAnsi="楷体" w:eastAsia="楷体"/>
          <w:b/>
          <w:bCs/>
          <w:sz w:val="32"/>
        </w:rPr>
      </w:pPr>
      <w:r>
        <w:rPr>
          <w:rFonts w:hint="eastAsia" w:ascii="楷体" w:hAnsi="楷体" w:eastAsia="楷体"/>
          <w:sz w:val="32"/>
        </w:rPr>
        <w:t xml:space="preserve">    </w:t>
      </w:r>
      <w:r>
        <w:rPr>
          <w:rFonts w:hint="eastAsia" w:ascii="楷体" w:hAnsi="楷体" w:eastAsia="楷体"/>
          <w:b/>
          <w:bCs/>
          <w:sz w:val="32"/>
        </w:rPr>
        <w:t>（二）一般公共</w:t>
      </w:r>
      <w:r>
        <w:rPr>
          <w:rFonts w:ascii="楷体" w:hAnsi="楷体" w:eastAsia="楷体"/>
          <w:b/>
          <w:bCs/>
          <w:sz w:val="32"/>
        </w:rPr>
        <w:t>预算</w:t>
      </w:r>
      <w:r>
        <w:rPr>
          <w:rFonts w:hint="eastAsia" w:ascii="楷体" w:hAnsi="楷体" w:eastAsia="楷体"/>
          <w:b/>
          <w:bCs/>
          <w:sz w:val="32"/>
        </w:rPr>
        <w:t>财政拨款支出决算结构情况</w:t>
      </w:r>
    </w:p>
    <w:p>
      <w:pPr>
        <w:rPr>
          <w:rFonts w:ascii="仿宋" w:hAnsi="仿宋" w:eastAsia="仿宋"/>
          <w:sz w:val="32"/>
          <w:szCs w:val="30"/>
        </w:rPr>
      </w:pPr>
      <w:r>
        <w:rPr>
          <w:rFonts w:hint="eastAsia" w:ascii="仿宋" w:hAnsi="仿宋" w:eastAsia="仿宋"/>
          <w:sz w:val="32"/>
        </w:rPr>
        <w:t xml:space="preserve">    </w:t>
      </w:r>
      <w:r>
        <w:rPr>
          <w:rFonts w:hint="eastAsia" w:ascii="仿宋" w:hAnsi="仿宋" w:eastAsia="仿宋"/>
          <w:sz w:val="32"/>
          <w:szCs w:val="30"/>
        </w:rPr>
        <w:t>2021年度一般</w:t>
      </w:r>
      <w:r>
        <w:rPr>
          <w:rFonts w:ascii="仿宋" w:hAnsi="仿宋" w:eastAsia="仿宋"/>
          <w:sz w:val="32"/>
          <w:szCs w:val="30"/>
        </w:rPr>
        <w:t>公共预算</w:t>
      </w:r>
      <w:r>
        <w:rPr>
          <w:rFonts w:hint="eastAsia" w:ascii="仿宋" w:hAnsi="仿宋" w:eastAsia="仿宋"/>
          <w:sz w:val="32"/>
          <w:szCs w:val="30"/>
        </w:rPr>
        <w:t>财政拨款支出2753.86万元，主要用于以下方面：灾害防治及应急管理支出2646.63万元，占96.11 %；社会保障和就业支出38.61万元，占 1.40%；卫生健康支出 30.04万元，占1.09 %；住房保障支出38.58万元，占1.40 %。</w:t>
      </w:r>
    </w:p>
    <w:p>
      <w:pPr>
        <w:rPr>
          <w:rFonts w:ascii="楷体" w:hAnsi="楷体" w:eastAsia="楷体"/>
          <w:b/>
          <w:bCs/>
          <w:sz w:val="32"/>
        </w:rPr>
      </w:pPr>
      <w:r>
        <w:rPr>
          <w:rFonts w:hint="eastAsia" w:ascii="楷体" w:hAnsi="楷体" w:eastAsia="楷体"/>
          <w:sz w:val="32"/>
        </w:rPr>
        <w:t xml:space="preserve">   </w:t>
      </w:r>
      <w:r>
        <w:rPr>
          <w:rFonts w:hint="eastAsia" w:ascii="楷体" w:hAnsi="楷体" w:eastAsia="楷体"/>
          <w:b/>
          <w:bCs/>
          <w:sz w:val="32"/>
        </w:rPr>
        <w:t xml:space="preserve"> （三）一般</w:t>
      </w:r>
      <w:r>
        <w:rPr>
          <w:rFonts w:ascii="楷体" w:hAnsi="楷体" w:eastAsia="楷体"/>
          <w:b/>
          <w:bCs/>
          <w:sz w:val="32"/>
        </w:rPr>
        <w:t>公共预算</w:t>
      </w:r>
      <w:r>
        <w:rPr>
          <w:rFonts w:hint="eastAsia" w:ascii="楷体" w:hAnsi="楷体" w:eastAsia="楷体"/>
          <w:b/>
          <w:bCs/>
          <w:sz w:val="32"/>
        </w:rPr>
        <w:t>财政拨款支出决算具体情况</w:t>
      </w:r>
    </w:p>
    <w:p>
      <w:pPr>
        <w:ind w:firstLine="640" w:firstLineChars="200"/>
        <w:rPr>
          <w:rFonts w:ascii="仿宋" w:hAnsi="仿宋" w:eastAsia="仿宋"/>
          <w:sz w:val="32"/>
          <w:szCs w:val="30"/>
        </w:rPr>
      </w:pPr>
      <w:r>
        <w:rPr>
          <w:rFonts w:hint="eastAsia" w:ascii="仿宋" w:hAnsi="仿宋" w:eastAsia="仿宋"/>
          <w:sz w:val="32"/>
          <w:szCs w:val="30"/>
        </w:rPr>
        <w:t>2021年度一般</w:t>
      </w:r>
      <w:r>
        <w:rPr>
          <w:rFonts w:ascii="仿宋" w:hAnsi="仿宋" w:eastAsia="仿宋"/>
          <w:sz w:val="32"/>
          <w:szCs w:val="30"/>
        </w:rPr>
        <w:t>公共预算</w:t>
      </w:r>
      <w:r>
        <w:rPr>
          <w:rFonts w:hint="eastAsia" w:ascii="仿宋" w:hAnsi="仿宋" w:eastAsia="仿宋"/>
          <w:sz w:val="32"/>
          <w:szCs w:val="30"/>
        </w:rPr>
        <w:t>财政拨款支出年初预算为2753.86万元，支出决算为2753.86万元，完成年初预算的100%。其中：</w:t>
      </w:r>
    </w:p>
    <w:p>
      <w:pPr>
        <w:ind w:firstLine="640" w:firstLineChars="200"/>
        <w:rPr>
          <w:rFonts w:ascii="仿宋" w:hAnsi="仿宋" w:eastAsia="仿宋"/>
          <w:sz w:val="32"/>
          <w:szCs w:val="30"/>
        </w:rPr>
      </w:pPr>
      <w:r>
        <w:rPr>
          <w:rFonts w:hint="eastAsia" w:ascii="仿宋" w:hAnsi="仿宋" w:eastAsia="仿宋"/>
          <w:sz w:val="32"/>
        </w:rPr>
        <w:t>1.</w:t>
      </w:r>
      <w:r>
        <w:rPr>
          <w:rFonts w:hint="eastAsia" w:ascii="仿宋" w:hAnsi="仿宋" w:eastAsia="仿宋"/>
          <w:sz w:val="32"/>
          <w:szCs w:val="30"/>
        </w:rPr>
        <w:t xml:space="preserve"> 灾害防治及应急管理支出年初预算2646.63万元，支出决算为2646.63万元，完成年初预算的100%。</w:t>
      </w:r>
    </w:p>
    <w:p>
      <w:pPr>
        <w:ind w:firstLine="640" w:firstLineChars="200"/>
        <w:rPr>
          <w:rFonts w:ascii="仿宋" w:hAnsi="仿宋" w:eastAsia="仿宋"/>
          <w:sz w:val="32"/>
          <w:szCs w:val="30"/>
        </w:rPr>
      </w:pPr>
      <w:r>
        <w:rPr>
          <w:rFonts w:hint="eastAsia" w:ascii="仿宋" w:hAnsi="仿宋" w:eastAsia="仿宋"/>
          <w:sz w:val="32"/>
        </w:rPr>
        <w:t>2.</w:t>
      </w:r>
      <w:r>
        <w:rPr>
          <w:rFonts w:hint="eastAsia" w:ascii="仿宋" w:hAnsi="仿宋" w:eastAsia="仿宋"/>
          <w:sz w:val="32"/>
          <w:szCs w:val="30"/>
        </w:rPr>
        <w:t xml:space="preserve"> 社会保障和就业支出年初预算38.61万元，支出决算为 38.61万元，完成年初预算的 100 %。</w:t>
      </w:r>
    </w:p>
    <w:p>
      <w:pPr>
        <w:ind w:firstLine="640" w:firstLineChars="200"/>
        <w:rPr>
          <w:rFonts w:ascii="仿宋" w:hAnsi="仿宋" w:eastAsia="仿宋"/>
          <w:sz w:val="32"/>
          <w:szCs w:val="30"/>
        </w:rPr>
      </w:pPr>
      <w:r>
        <w:rPr>
          <w:rFonts w:hint="eastAsia" w:ascii="仿宋" w:hAnsi="仿宋" w:eastAsia="仿宋"/>
          <w:sz w:val="32"/>
        </w:rPr>
        <w:t>3.</w:t>
      </w:r>
      <w:r>
        <w:rPr>
          <w:rFonts w:hint="eastAsia" w:ascii="仿宋" w:hAnsi="仿宋" w:eastAsia="仿宋"/>
          <w:sz w:val="32"/>
          <w:szCs w:val="30"/>
        </w:rPr>
        <w:t xml:space="preserve"> 卫生健康支出年初预算30.04万元，支出决算为 30.04万元，完成年初预算的 100 %。</w:t>
      </w:r>
    </w:p>
    <w:p>
      <w:pPr>
        <w:ind w:firstLine="640" w:firstLineChars="200"/>
        <w:rPr>
          <w:rFonts w:ascii="仿宋" w:hAnsi="仿宋" w:eastAsia="仿宋"/>
          <w:sz w:val="32"/>
          <w:szCs w:val="30"/>
        </w:rPr>
      </w:pPr>
      <w:r>
        <w:rPr>
          <w:rFonts w:hint="eastAsia" w:ascii="仿宋" w:hAnsi="仿宋" w:eastAsia="仿宋"/>
          <w:sz w:val="32"/>
          <w:szCs w:val="30"/>
        </w:rPr>
        <w:t>4. 住房保障支出年初预算38.58万元，支出决算为 38.58万元，完成年初预算的 100 %。</w:t>
      </w: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六、</w:t>
      </w:r>
      <w:r>
        <w:rPr>
          <w:rFonts w:hint="eastAsia" w:ascii="黑体" w:hAnsi="黑体" w:eastAsia="黑体"/>
          <w:sz w:val="32"/>
          <w:szCs w:val="30"/>
        </w:rPr>
        <w:t>一般公共预算财政拨款基本支出决算情况说明</w:t>
      </w:r>
    </w:p>
    <w:p>
      <w:pPr>
        <w:ind w:firstLine="640" w:firstLineChars="200"/>
        <w:rPr>
          <w:rFonts w:ascii="仿宋" w:hAnsi="仿宋" w:eastAsia="仿宋"/>
          <w:sz w:val="32"/>
          <w:szCs w:val="30"/>
        </w:rPr>
      </w:pPr>
      <w:r>
        <w:rPr>
          <w:rFonts w:hint="eastAsia" w:ascii="仿宋" w:hAnsi="仿宋" w:eastAsia="仿宋"/>
          <w:sz w:val="32"/>
          <w:szCs w:val="30"/>
        </w:rPr>
        <w:t>2021年度一般</w:t>
      </w:r>
      <w:r>
        <w:rPr>
          <w:rFonts w:ascii="仿宋" w:hAnsi="仿宋" w:eastAsia="仿宋"/>
          <w:sz w:val="32"/>
          <w:szCs w:val="30"/>
        </w:rPr>
        <w:t>公共预算</w:t>
      </w:r>
      <w:r>
        <w:rPr>
          <w:rFonts w:hint="eastAsia" w:ascii="仿宋" w:hAnsi="仿宋" w:eastAsia="仿宋"/>
          <w:sz w:val="32"/>
          <w:szCs w:val="30"/>
        </w:rPr>
        <w:t>财政拨款基本支出1007.08万元，其中：人员经费572.44万元，主要包括：基本工资、津贴补贴、奖金、伙食补助费、绩效工资、机关事业单位基本养老保险缴费、职业年金缴费、职工</w:t>
      </w:r>
      <w:r>
        <w:rPr>
          <w:rFonts w:ascii="仿宋" w:hAnsi="仿宋" w:eastAsia="仿宋"/>
          <w:sz w:val="32"/>
          <w:szCs w:val="30"/>
        </w:rPr>
        <w:t>基本医疗保险缴费、公务员医疗补助缴费、其他社会保障缴费、住房公积金、医疗费、</w:t>
      </w:r>
      <w:r>
        <w:rPr>
          <w:rFonts w:hint="eastAsia" w:ascii="仿宋" w:hAnsi="仿宋" w:eastAsia="仿宋"/>
          <w:sz w:val="32"/>
          <w:szCs w:val="30"/>
        </w:rPr>
        <w:t>其他工资福利支出、离休费、退休费、退职（役）费、抚恤金、生活补助、救济费、医疗费补助、助学金、奖励金、个人农业</w:t>
      </w:r>
      <w:r>
        <w:rPr>
          <w:rFonts w:ascii="仿宋" w:hAnsi="仿宋" w:eastAsia="仿宋"/>
          <w:sz w:val="32"/>
          <w:szCs w:val="30"/>
        </w:rPr>
        <w:t>生产补贴</w:t>
      </w:r>
      <w:r>
        <w:rPr>
          <w:rFonts w:hint="eastAsia" w:ascii="仿宋" w:hAnsi="仿宋" w:eastAsia="仿宋"/>
          <w:sz w:val="32"/>
          <w:szCs w:val="30"/>
        </w:rPr>
        <w:t>、其他对个人和家庭的补助支出。</w:t>
      </w:r>
    </w:p>
    <w:p>
      <w:pPr>
        <w:rPr>
          <w:rFonts w:ascii="仿宋" w:hAnsi="仿宋" w:eastAsia="仿宋"/>
          <w:sz w:val="32"/>
        </w:rPr>
      </w:pPr>
      <w:r>
        <w:rPr>
          <w:rFonts w:hint="eastAsia" w:ascii="仿宋" w:hAnsi="仿宋" w:eastAsia="仿宋"/>
          <w:sz w:val="32"/>
          <w:szCs w:val="30"/>
        </w:rPr>
        <w:t xml:space="preserve">    </w:t>
      </w:r>
      <w:r>
        <w:rPr>
          <w:rFonts w:hint="eastAsia" w:ascii="仿宋" w:hAnsi="仿宋" w:eastAsia="仿宋"/>
          <w:sz w:val="32"/>
        </w:rPr>
        <w:t>公用经费434.64万元，主要包括：办公费、印刷费、咨询费、手续费、水费、电费、邮电费、取暖费、物业管理费、差旅费、因公出国（境）费、维修（护）费、租赁费、会议费、培训费、公务接待费、专用材料费、被装购置费、专用燃料费、劳务费、委托业务费、工会经费、福利费、公务用车运行维护费、其他交通费用、税金及附加费用、其他商品和服务支出、房屋建筑物购建、办公设备购置、专用设备购置、基础设施建设、大型修缮、信息网络及软件购置更新、其他资本性支出。</w:t>
      </w:r>
    </w:p>
    <w:p>
      <w:pPr>
        <w:rPr>
          <w:rFonts w:ascii="仿宋" w:hAnsi="仿宋" w:eastAsia="仿宋"/>
          <w:sz w:val="32"/>
        </w:rPr>
      </w:pPr>
      <w:r>
        <w:rPr>
          <w:rFonts w:hint="eastAsia" w:ascii="仿宋" w:hAnsi="仿宋" w:eastAsia="仿宋"/>
          <w:sz w:val="32"/>
        </w:rPr>
        <w:t xml:space="preserve">    </w:t>
      </w:r>
      <w:r>
        <w:rPr>
          <w:rFonts w:hint="eastAsia" w:ascii="黑体" w:hAnsi="黑体" w:eastAsia="黑体"/>
          <w:sz w:val="32"/>
        </w:rPr>
        <w:t>七、</w:t>
      </w:r>
      <w:r>
        <w:rPr>
          <w:rFonts w:hint="eastAsia" w:ascii="黑体" w:hAnsi="黑体" w:eastAsia="黑体"/>
          <w:sz w:val="32"/>
          <w:szCs w:val="30"/>
        </w:rPr>
        <w:t>一般公共预算财政拨款“三公”经费支出决算情况说明</w:t>
      </w:r>
    </w:p>
    <w:p>
      <w:pPr>
        <w:ind w:firstLine="640" w:firstLineChars="200"/>
        <w:rPr>
          <w:rFonts w:ascii="楷体" w:hAnsi="楷体" w:eastAsia="楷体"/>
          <w:sz w:val="32"/>
        </w:rPr>
      </w:pPr>
      <w:r>
        <w:rPr>
          <w:rFonts w:hint="eastAsia" w:ascii="楷体" w:hAnsi="楷体" w:eastAsia="楷体"/>
          <w:sz w:val="32"/>
        </w:rPr>
        <w:t>（一）“三公”经费财政拨款支出决算总体情况说明</w:t>
      </w:r>
    </w:p>
    <w:p>
      <w:pPr>
        <w:ind w:firstLine="640" w:firstLineChars="200"/>
        <w:rPr>
          <w:rFonts w:ascii="仿宋" w:hAnsi="仿宋" w:eastAsia="仿宋"/>
          <w:sz w:val="32"/>
          <w:szCs w:val="30"/>
        </w:rPr>
      </w:pPr>
      <w:r>
        <w:rPr>
          <w:rFonts w:hint="eastAsia" w:ascii="仿宋" w:hAnsi="仿宋" w:eastAsia="仿宋"/>
          <w:sz w:val="32"/>
          <w:szCs w:val="30"/>
        </w:rPr>
        <w:t>2021年度“三公”经费财政拨款支出预算为42万元，支出决算为19.56万元，完成预算的46.57 %，转下年支出。</w:t>
      </w:r>
    </w:p>
    <w:p>
      <w:pPr>
        <w:ind w:firstLine="640" w:firstLineChars="200"/>
        <w:rPr>
          <w:rFonts w:ascii="楷体" w:hAnsi="楷体" w:eastAsia="楷体"/>
          <w:sz w:val="32"/>
        </w:rPr>
      </w:pPr>
      <w:r>
        <w:rPr>
          <w:rFonts w:hint="eastAsia" w:ascii="楷体" w:hAnsi="楷体" w:eastAsia="楷体"/>
          <w:sz w:val="32"/>
        </w:rPr>
        <w:t>（二）“三公”经费财政拨款支出决算具体情况说明</w:t>
      </w:r>
    </w:p>
    <w:p>
      <w:pPr>
        <w:ind w:firstLine="640" w:firstLineChars="200"/>
        <w:rPr>
          <w:rFonts w:ascii="仿宋" w:hAnsi="仿宋" w:eastAsia="仿宋"/>
          <w:sz w:val="32"/>
          <w:szCs w:val="30"/>
        </w:rPr>
      </w:pPr>
      <w:r>
        <w:rPr>
          <w:rFonts w:hint="eastAsia" w:ascii="仿宋" w:hAnsi="仿宋" w:eastAsia="仿宋"/>
          <w:sz w:val="32"/>
          <w:szCs w:val="30"/>
        </w:rPr>
        <w:t>2021年度“三公”经费财政拨款支出决算中，因公出国（境）费支出决算为0 万元；公务用车购置及运行费支出决算为19.56万元，占46.57 %；公务接待费支出决算为 0 万元。</w:t>
      </w:r>
    </w:p>
    <w:p>
      <w:pPr>
        <w:ind w:firstLine="640" w:firstLineChars="200"/>
        <w:rPr>
          <w:rFonts w:ascii="仿宋" w:hAnsi="仿宋" w:eastAsia="仿宋"/>
          <w:sz w:val="32"/>
          <w:szCs w:val="30"/>
        </w:rPr>
      </w:pPr>
      <w:r>
        <w:rPr>
          <w:rFonts w:ascii="仿宋" w:hAnsi="仿宋" w:eastAsia="仿宋"/>
          <w:sz w:val="32"/>
          <w:szCs w:val="30"/>
        </w:rPr>
        <w:t>1</w:t>
      </w:r>
      <w:r>
        <w:rPr>
          <w:rFonts w:hint="eastAsia" w:ascii="仿宋" w:hAnsi="仿宋" w:eastAsia="仿宋"/>
          <w:sz w:val="32"/>
          <w:szCs w:val="30"/>
        </w:rPr>
        <w:t>.因公出国（境）费预算为 0 万元,支出</w:t>
      </w:r>
      <w:r>
        <w:rPr>
          <w:rFonts w:ascii="仿宋" w:hAnsi="仿宋" w:eastAsia="仿宋"/>
          <w:sz w:val="32"/>
          <w:szCs w:val="30"/>
        </w:rPr>
        <w:t>决算为</w:t>
      </w:r>
      <w:r>
        <w:rPr>
          <w:rFonts w:hint="eastAsia" w:ascii="仿宋" w:hAnsi="仿宋" w:eastAsia="仿宋"/>
          <w:sz w:val="32"/>
          <w:szCs w:val="30"/>
        </w:rPr>
        <w:t xml:space="preserve"> 0 万元。全年安排因公出国（境）团组 0 个，累计 0 人次。</w:t>
      </w:r>
    </w:p>
    <w:p>
      <w:pPr>
        <w:rPr>
          <w:rFonts w:ascii="仿宋" w:hAnsi="仿宋" w:eastAsia="仿宋"/>
          <w:sz w:val="32"/>
          <w:szCs w:val="30"/>
        </w:rPr>
      </w:pPr>
      <w:r>
        <w:rPr>
          <w:rFonts w:hint="eastAsia" w:ascii="仿宋" w:hAnsi="仿宋" w:eastAsia="仿宋"/>
          <w:sz w:val="32"/>
          <w:szCs w:val="30"/>
        </w:rPr>
        <w:t xml:space="preserve">   2.公务用车购置及运行费预算42 万元</w:t>
      </w:r>
      <w:r>
        <w:rPr>
          <w:rFonts w:ascii="仿宋" w:hAnsi="仿宋" w:eastAsia="仿宋"/>
          <w:sz w:val="32"/>
          <w:szCs w:val="30"/>
        </w:rPr>
        <w:t>，</w:t>
      </w:r>
      <w:r>
        <w:rPr>
          <w:rFonts w:hint="eastAsia" w:ascii="仿宋" w:hAnsi="仿宋" w:eastAsia="仿宋"/>
          <w:sz w:val="32"/>
          <w:szCs w:val="30"/>
        </w:rPr>
        <w:t>支出决算</w:t>
      </w:r>
      <w:r>
        <w:rPr>
          <w:rFonts w:ascii="仿宋" w:hAnsi="仿宋" w:eastAsia="仿宋"/>
          <w:sz w:val="32"/>
          <w:szCs w:val="30"/>
        </w:rPr>
        <w:t>为</w:t>
      </w:r>
      <w:r>
        <w:rPr>
          <w:rFonts w:hint="eastAsia" w:ascii="仿宋" w:hAnsi="仿宋" w:eastAsia="仿宋"/>
          <w:sz w:val="32"/>
          <w:szCs w:val="30"/>
        </w:rPr>
        <w:t>19.56 万元，</w:t>
      </w:r>
      <w:r>
        <w:rPr>
          <w:rFonts w:ascii="仿宋" w:hAnsi="仿宋" w:eastAsia="仿宋"/>
          <w:sz w:val="32"/>
          <w:szCs w:val="30"/>
        </w:rPr>
        <w:t>完成预算的</w:t>
      </w:r>
      <w:r>
        <w:rPr>
          <w:rFonts w:hint="eastAsia" w:ascii="仿宋" w:hAnsi="仿宋" w:eastAsia="仿宋"/>
          <w:sz w:val="32"/>
          <w:szCs w:val="30"/>
        </w:rPr>
        <w:t xml:space="preserve"> 46.57 </w:t>
      </w:r>
      <w:r>
        <w:rPr>
          <w:rFonts w:ascii="仿宋" w:hAnsi="仿宋" w:eastAsia="仿宋"/>
          <w:sz w:val="32"/>
          <w:szCs w:val="30"/>
        </w:rPr>
        <w:t>%</w:t>
      </w:r>
      <w:r>
        <w:rPr>
          <w:rFonts w:hint="eastAsia" w:ascii="仿宋" w:hAnsi="仿宋" w:eastAsia="仿宋"/>
          <w:sz w:val="32"/>
          <w:szCs w:val="30"/>
        </w:rPr>
        <w:t xml:space="preserve">，转下年支出。 </w:t>
      </w:r>
    </w:p>
    <w:p>
      <w:pPr>
        <w:ind w:firstLine="640" w:firstLineChars="200"/>
        <w:rPr>
          <w:rFonts w:ascii="仿宋" w:hAnsi="仿宋" w:eastAsia="仿宋"/>
          <w:sz w:val="32"/>
          <w:szCs w:val="30"/>
        </w:rPr>
      </w:pPr>
      <w:r>
        <w:rPr>
          <w:rFonts w:hint="eastAsia" w:ascii="仿宋" w:hAnsi="仿宋" w:eastAsia="仿宋"/>
          <w:sz w:val="32"/>
          <w:szCs w:val="30"/>
        </w:rPr>
        <w:t>公务用车购置支出  0 万元。</w:t>
      </w:r>
    </w:p>
    <w:p>
      <w:pPr>
        <w:ind w:firstLine="640" w:firstLineChars="200"/>
        <w:rPr>
          <w:rFonts w:ascii="仿宋" w:hAnsi="仿宋" w:eastAsia="仿宋"/>
          <w:color w:val="FF0000"/>
          <w:sz w:val="32"/>
          <w:szCs w:val="30"/>
        </w:rPr>
      </w:pPr>
      <w:r>
        <w:rPr>
          <w:rFonts w:hint="eastAsia" w:ascii="仿宋" w:hAnsi="仿宋" w:eastAsia="仿宋"/>
          <w:sz w:val="32"/>
          <w:szCs w:val="30"/>
        </w:rPr>
        <w:t>公务用车运行支出19.56 万元，主要是公车日常维护（维修）保险及燃油。</w:t>
      </w:r>
      <w:r>
        <w:rPr>
          <w:rFonts w:hint="eastAsia" w:ascii="仿宋_GB2312" w:eastAsia="仿宋_GB2312" w:cs="仿宋_GB2312"/>
          <w:kern w:val="0"/>
          <w:sz w:val="32"/>
          <w:szCs w:val="32"/>
        </w:rPr>
        <w:t>截至</w:t>
      </w:r>
      <w:r>
        <w:rPr>
          <w:rFonts w:ascii="仿宋_GB2312" w:eastAsia="仿宋_GB2312" w:cs="仿宋_GB2312"/>
          <w:kern w:val="0"/>
          <w:sz w:val="32"/>
          <w:szCs w:val="32"/>
        </w:rPr>
        <w:t>2021年12</w:t>
      </w:r>
      <w:r>
        <w:rPr>
          <w:rFonts w:hint="eastAsia" w:ascii="仿宋_GB2312" w:eastAsia="仿宋_GB2312" w:cs="仿宋_GB2312"/>
          <w:kern w:val="0"/>
          <w:sz w:val="32"/>
          <w:szCs w:val="32"/>
        </w:rPr>
        <w:t>月</w:t>
      </w:r>
      <w:r>
        <w:rPr>
          <w:rFonts w:ascii="仿宋_GB2312" w:eastAsia="仿宋_GB2312" w:cs="仿宋_GB2312"/>
          <w:kern w:val="0"/>
          <w:sz w:val="32"/>
          <w:szCs w:val="32"/>
        </w:rPr>
        <w:t>31</w:t>
      </w:r>
      <w:r>
        <w:rPr>
          <w:rFonts w:hint="eastAsia" w:ascii="仿宋_GB2312" w:eastAsia="仿宋_GB2312" w:cs="仿宋_GB2312"/>
          <w:kern w:val="0"/>
          <w:sz w:val="32"/>
          <w:szCs w:val="32"/>
        </w:rPr>
        <w:t>日</w:t>
      </w:r>
      <w:r>
        <w:rPr>
          <w:rFonts w:hint="eastAsia" w:ascii="仿宋" w:hAnsi="仿宋" w:eastAsia="仿宋"/>
          <w:sz w:val="32"/>
          <w:szCs w:val="30"/>
        </w:rPr>
        <w:t>，开支财政拨款的公务用车保有量为 7 辆,</w:t>
      </w:r>
      <w:r>
        <w:rPr>
          <w:rFonts w:hint="eastAsia" w:ascii="仿宋" w:hAnsi="仿宋" w:eastAsia="仿宋"/>
          <w:color w:val="000000" w:themeColor="text1"/>
          <w:sz w:val="32"/>
          <w:szCs w:val="30"/>
        </w:rPr>
        <w:t>公务</w:t>
      </w:r>
      <w:r>
        <w:rPr>
          <w:rFonts w:ascii="仿宋" w:hAnsi="仿宋" w:eastAsia="仿宋"/>
          <w:color w:val="000000" w:themeColor="text1"/>
          <w:sz w:val="32"/>
          <w:szCs w:val="30"/>
        </w:rPr>
        <w:t>用车购置数为</w:t>
      </w:r>
      <w:r>
        <w:rPr>
          <w:rFonts w:hint="eastAsia" w:ascii="仿宋" w:hAnsi="仿宋" w:eastAsia="仿宋"/>
          <w:color w:val="000000" w:themeColor="text1"/>
          <w:sz w:val="32"/>
          <w:szCs w:val="30"/>
        </w:rPr>
        <w:t xml:space="preserve"> 0 辆</w:t>
      </w:r>
      <w:r>
        <w:rPr>
          <w:rFonts w:ascii="仿宋" w:hAnsi="仿宋" w:eastAsia="仿宋"/>
          <w:color w:val="000000" w:themeColor="text1"/>
          <w:sz w:val="32"/>
          <w:szCs w:val="30"/>
        </w:rPr>
        <w:t>。</w:t>
      </w:r>
      <w:r>
        <w:rPr>
          <w:rFonts w:hint="eastAsia" w:ascii="仿宋" w:hAnsi="仿宋" w:eastAsia="仿宋"/>
          <w:color w:val="FF0000"/>
          <w:sz w:val="32"/>
          <w:szCs w:val="30"/>
        </w:rPr>
        <w:t xml:space="preserve"> </w:t>
      </w:r>
    </w:p>
    <w:p>
      <w:pPr>
        <w:numPr>
          <w:ilvl w:val="0"/>
          <w:numId w:val="2"/>
        </w:numPr>
        <w:ind w:firstLine="640" w:firstLineChars="200"/>
        <w:rPr>
          <w:rFonts w:ascii="仿宋" w:hAnsi="仿宋" w:eastAsia="仿宋"/>
          <w:sz w:val="32"/>
          <w:szCs w:val="30"/>
        </w:rPr>
      </w:pPr>
      <w:r>
        <w:rPr>
          <w:rFonts w:hint="eastAsia" w:ascii="仿宋" w:hAnsi="仿宋" w:eastAsia="仿宋"/>
          <w:sz w:val="32"/>
          <w:szCs w:val="30"/>
        </w:rPr>
        <w:t>公务接待费</w:t>
      </w:r>
      <w:r>
        <w:rPr>
          <w:rFonts w:ascii="仿宋" w:hAnsi="仿宋" w:eastAsia="仿宋"/>
          <w:sz w:val="32"/>
          <w:szCs w:val="30"/>
        </w:rPr>
        <w:t>预算为</w:t>
      </w:r>
      <w:r>
        <w:rPr>
          <w:rFonts w:hint="eastAsia" w:ascii="仿宋" w:hAnsi="仿宋" w:eastAsia="仿宋"/>
          <w:sz w:val="32"/>
          <w:szCs w:val="30"/>
        </w:rPr>
        <w:t>0 万元</w:t>
      </w:r>
      <w:r>
        <w:rPr>
          <w:rFonts w:ascii="仿宋" w:hAnsi="仿宋" w:eastAsia="仿宋"/>
          <w:sz w:val="32"/>
          <w:szCs w:val="30"/>
        </w:rPr>
        <w:t>，</w:t>
      </w:r>
      <w:r>
        <w:rPr>
          <w:rFonts w:hint="eastAsia" w:ascii="仿宋" w:hAnsi="仿宋" w:eastAsia="仿宋"/>
          <w:sz w:val="32"/>
          <w:szCs w:val="30"/>
        </w:rPr>
        <w:t>支出决算</w:t>
      </w:r>
      <w:r>
        <w:rPr>
          <w:rFonts w:ascii="仿宋" w:hAnsi="仿宋" w:eastAsia="仿宋"/>
          <w:sz w:val="32"/>
          <w:szCs w:val="30"/>
        </w:rPr>
        <w:t>为</w:t>
      </w:r>
      <w:r>
        <w:rPr>
          <w:rFonts w:hint="eastAsia" w:ascii="仿宋" w:hAnsi="仿宋" w:eastAsia="仿宋"/>
          <w:sz w:val="32"/>
          <w:szCs w:val="30"/>
        </w:rPr>
        <w:t xml:space="preserve"> 0 万元。</w:t>
      </w:r>
    </w:p>
    <w:p>
      <w:pPr>
        <w:numPr>
          <w:ilvl w:val="0"/>
          <w:numId w:val="2"/>
        </w:numPr>
        <w:ind w:firstLine="640" w:firstLineChars="200"/>
        <w:rPr>
          <w:rFonts w:ascii="仿宋" w:hAnsi="仿宋" w:eastAsia="仿宋"/>
          <w:sz w:val="32"/>
          <w:szCs w:val="30"/>
        </w:rPr>
      </w:pPr>
      <w:r>
        <w:rPr>
          <w:rFonts w:hint="eastAsia" w:ascii="仿宋" w:hAnsi="仿宋" w:eastAsia="仿宋"/>
          <w:sz w:val="32"/>
          <w:szCs w:val="30"/>
        </w:rPr>
        <w:t>外宾接待支出 0 万元。</w:t>
      </w:r>
    </w:p>
    <w:p>
      <w:pPr>
        <w:numPr>
          <w:ilvl w:val="0"/>
          <w:numId w:val="2"/>
        </w:numPr>
        <w:ind w:firstLine="480" w:firstLineChars="150"/>
        <w:rPr>
          <w:rFonts w:ascii="黑体" w:hAnsi="黑体" w:eastAsia="黑体"/>
          <w:sz w:val="32"/>
          <w:szCs w:val="30"/>
        </w:rPr>
      </w:pPr>
      <w:r>
        <w:rPr>
          <w:rFonts w:hint="eastAsia" w:ascii="仿宋" w:hAnsi="仿宋" w:eastAsia="仿宋"/>
          <w:sz w:val="32"/>
          <w:szCs w:val="30"/>
        </w:rPr>
        <w:t>其他国内公务接待支出 0 万元。</w:t>
      </w:r>
    </w:p>
    <w:p>
      <w:pPr>
        <w:ind w:left="480"/>
        <w:rPr>
          <w:rFonts w:ascii="黑体" w:hAnsi="黑体" w:eastAsia="黑体"/>
          <w:sz w:val="32"/>
          <w:szCs w:val="30"/>
        </w:rPr>
      </w:pPr>
      <w:r>
        <w:rPr>
          <w:rFonts w:hint="eastAsia" w:ascii="黑体" w:hAnsi="黑体" w:eastAsia="黑体"/>
          <w:sz w:val="32"/>
        </w:rPr>
        <w:t>八、政府性基金预算财政拨款收入支出决算情况说明</w:t>
      </w:r>
    </w:p>
    <w:p>
      <w:pPr>
        <w:ind w:left="2"/>
        <w:rPr>
          <w:rFonts w:ascii="仿宋" w:hAnsi="仿宋" w:eastAsia="仿宋"/>
          <w:sz w:val="32"/>
          <w:szCs w:val="32"/>
        </w:rPr>
      </w:pPr>
      <w:r>
        <w:rPr>
          <w:rFonts w:hint="eastAsia" w:ascii="黑体" w:hAnsi="黑体" w:eastAsia="黑体"/>
          <w:sz w:val="32"/>
          <w:szCs w:val="30"/>
        </w:rPr>
        <w:t xml:space="preserve">  </w:t>
      </w:r>
      <w:r>
        <w:rPr>
          <w:rFonts w:hint="eastAsia" w:ascii="仿宋" w:hAnsi="仿宋" w:eastAsia="仿宋"/>
          <w:sz w:val="32"/>
          <w:szCs w:val="32"/>
        </w:rPr>
        <w:t xml:space="preserve"> 本单位本年度无政府性基金财政拨款收入、支出数据。</w:t>
      </w:r>
    </w:p>
    <w:p>
      <w:pPr>
        <w:ind w:firstLine="480" w:firstLineChars="150"/>
        <w:rPr>
          <w:rFonts w:ascii="黑体" w:hAnsi="黑体" w:eastAsia="黑体"/>
          <w:sz w:val="32"/>
        </w:rPr>
      </w:pPr>
      <w:r>
        <w:rPr>
          <w:rFonts w:hint="eastAsia" w:ascii="黑体" w:hAnsi="黑体" w:eastAsia="黑体"/>
          <w:sz w:val="32"/>
        </w:rPr>
        <w:t>九、国有</w:t>
      </w:r>
      <w:r>
        <w:rPr>
          <w:rFonts w:ascii="黑体" w:hAnsi="黑体" w:eastAsia="黑体"/>
          <w:sz w:val="32"/>
        </w:rPr>
        <w:t>资本经营预算</w:t>
      </w:r>
      <w:r>
        <w:rPr>
          <w:rFonts w:hint="eastAsia" w:ascii="黑体" w:hAnsi="黑体" w:eastAsia="黑体"/>
          <w:sz w:val="32"/>
        </w:rPr>
        <w:t>财政拨款支出</w:t>
      </w:r>
      <w:r>
        <w:rPr>
          <w:rFonts w:ascii="黑体" w:hAnsi="黑体" w:eastAsia="黑体"/>
          <w:sz w:val="32"/>
        </w:rPr>
        <w:t>决算</w:t>
      </w:r>
      <w:r>
        <w:rPr>
          <w:rFonts w:hint="eastAsia" w:ascii="黑体" w:hAnsi="黑体" w:eastAsia="黑体"/>
          <w:sz w:val="32"/>
        </w:rPr>
        <w:t>情况说明</w:t>
      </w:r>
    </w:p>
    <w:p>
      <w:pPr>
        <w:ind w:firstLine="480" w:firstLineChars="150"/>
        <w:rPr>
          <w:rFonts w:ascii="仿宋" w:hAnsi="仿宋" w:eastAsia="仿宋"/>
          <w:sz w:val="32"/>
          <w:szCs w:val="32"/>
        </w:rPr>
      </w:pPr>
      <w:r>
        <w:rPr>
          <w:rFonts w:hint="eastAsia" w:ascii="仿宋" w:hAnsi="仿宋" w:eastAsia="仿宋"/>
          <w:sz w:val="32"/>
          <w:szCs w:val="32"/>
        </w:rPr>
        <w:t>本单位本年度国有资本经营预算财政拨款收入、支出数据。</w:t>
      </w:r>
    </w:p>
    <w:p>
      <w:pPr>
        <w:ind w:firstLine="480" w:firstLineChars="150"/>
        <w:rPr>
          <w:rFonts w:ascii="黑体" w:hAnsi="黑体" w:eastAsia="黑体"/>
          <w:sz w:val="32"/>
        </w:rPr>
      </w:pPr>
      <w:r>
        <w:rPr>
          <w:rFonts w:hint="eastAsia" w:ascii="黑体" w:hAnsi="黑体" w:eastAsia="黑体"/>
          <w:sz w:val="32"/>
        </w:rPr>
        <w:t>十、关于2021年度预算绩效管理情况的说明</w:t>
      </w:r>
    </w:p>
    <w:p>
      <w:pPr>
        <w:spacing w:line="580" w:lineRule="exact"/>
        <w:ind w:firstLine="640" w:firstLineChars="200"/>
        <w:rPr>
          <w:rFonts w:eastAsia="楷体"/>
          <w:sz w:val="32"/>
          <w:szCs w:val="32"/>
        </w:rPr>
      </w:pPr>
      <w:r>
        <w:rPr>
          <w:rFonts w:eastAsia="楷体"/>
          <w:sz w:val="32"/>
          <w:szCs w:val="32"/>
        </w:rPr>
        <w:t>（一）绩效评价工作开展情况</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1.组织对2021年度部门预算中央自然灾害救灾资金项目进行了绩效自评，共涉及资金1647万元，绩效自评率为100%。</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2.组织对中央自然灾害救灾资金等转移支付资金开展了绩效自评，共涉及资金1647万元，无特殊需要说明问题。</w:t>
      </w:r>
    </w:p>
    <w:p>
      <w:pPr>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3.组织对中央自然灾害救灾项目进行了部门评价，共涉及资金1647万元，帮助受灾群众克服冬春生活困难。及时下拨资金，妥善保障受灾群众基本生活。</w:t>
      </w:r>
    </w:p>
    <w:p>
      <w:pPr>
        <w:ind w:firstLine="640" w:firstLineChars="200"/>
        <w:rPr>
          <w:rFonts w:ascii="楷体" w:hAnsi="楷体" w:eastAsia="楷体" w:cs="楷体"/>
          <w:sz w:val="32"/>
          <w:szCs w:val="32"/>
        </w:rPr>
      </w:pPr>
      <w:r>
        <w:rPr>
          <w:rFonts w:hint="eastAsia" w:ascii="楷体" w:hAnsi="楷体" w:eastAsia="楷体" w:cs="楷体"/>
          <w:sz w:val="32"/>
          <w:szCs w:val="32"/>
        </w:rPr>
        <w:t>（二）绩效评价结果应用</w:t>
      </w:r>
    </w:p>
    <w:p>
      <w:pPr>
        <w:spacing w:line="580" w:lineRule="exact"/>
        <w:ind w:firstLine="640" w:firstLineChars="200"/>
        <w:rPr>
          <w:rFonts w:eastAsia="仿宋_GB2312"/>
          <w:sz w:val="32"/>
          <w:szCs w:val="32"/>
        </w:rPr>
      </w:pPr>
      <w:r>
        <w:rPr>
          <w:rFonts w:hint="eastAsia" w:ascii="仿宋_GB2312" w:hAnsi="仿宋_GB2312" w:eastAsia="仿宋_GB2312" w:cs="仿宋_GB2312"/>
          <w:sz w:val="32"/>
          <w:szCs w:val="32"/>
        </w:rPr>
        <w:t>我部门（单位）绩效评价结果应用情况如下：及时下拨中央自然灾害救灾资金，使受助群众基本生活得以保障，确保受灾群众温暖过冬。社会好评100%。</w:t>
      </w:r>
      <w:r>
        <w:rPr>
          <w:rFonts w:hint="eastAsia" w:eastAsia="仿宋_GB2312"/>
          <w:sz w:val="32"/>
          <w:szCs w:val="32"/>
        </w:rPr>
        <w:t xml:space="preserve"> </w:t>
      </w:r>
    </w:p>
    <w:p>
      <w:pPr>
        <w:ind w:firstLine="640"/>
        <w:rPr>
          <w:rFonts w:ascii="仿宋" w:hAnsi="仿宋" w:eastAsia="仿宋"/>
          <w:sz w:val="32"/>
        </w:rPr>
      </w:pPr>
      <w:r>
        <w:rPr>
          <w:rFonts w:hint="eastAsia" w:ascii="黑体" w:hAnsi="黑体" w:eastAsia="黑体"/>
          <w:sz w:val="32"/>
        </w:rPr>
        <w:t>十一、其他重要事项的情况说明</w:t>
      </w:r>
    </w:p>
    <w:p>
      <w:pPr>
        <w:ind w:firstLine="640" w:firstLineChars="200"/>
        <w:rPr>
          <w:rFonts w:ascii="楷体" w:hAnsi="楷体" w:eastAsia="楷体"/>
          <w:sz w:val="32"/>
        </w:rPr>
      </w:pPr>
      <w:r>
        <w:rPr>
          <w:rFonts w:hint="eastAsia" w:ascii="楷体" w:hAnsi="楷体" w:eastAsia="楷体"/>
          <w:sz w:val="32"/>
        </w:rPr>
        <w:t>（一）机关运行经费支出情况</w:t>
      </w:r>
    </w:p>
    <w:p>
      <w:pPr>
        <w:autoSpaceDE w:val="0"/>
        <w:autoSpaceDN w:val="0"/>
        <w:adjustRightInd w:val="0"/>
        <w:ind w:firstLine="640" w:firstLineChars="200"/>
        <w:jc w:val="left"/>
        <w:rPr>
          <w:rFonts w:ascii="仿宋" w:hAnsi="仿宋" w:eastAsia="仿宋"/>
          <w:sz w:val="32"/>
          <w:szCs w:val="30"/>
        </w:rPr>
      </w:pPr>
      <w:r>
        <w:rPr>
          <w:rFonts w:hint="eastAsia" w:ascii="仿宋" w:hAnsi="仿宋" w:eastAsia="仿宋"/>
          <w:sz w:val="32"/>
        </w:rPr>
        <w:t>2021年度，机关运行经费支出 434.64万元，</w:t>
      </w:r>
      <w:r>
        <w:rPr>
          <w:rFonts w:hint="eastAsia" w:ascii="仿宋_GB2312" w:eastAsia="仿宋_GB2312" w:cs="仿宋_GB2312"/>
          <w:kern w:val="0"/>
          <w:sz w:val="32"/>
          <w:szCs w:val="32"/>
        </w:rPr>
        <w:t>比年初预算数增加107.01</w:t>
      </w:r>
      <w:r>
        <w:rPr>
          <w:rFonts w:ascii="仿宋_GB2312" w:eastAsia="仿宋_GB2312" w:cs="仿宋_GB2312"/>
          <w:kern w:val="0"/>
          <w:sz w:val="32"/>
          <w:szCs w:val="32"/>
        </w:rPr>
        <w:t xml:space="preserve"> </w:t>
      </w:r>
      <w:r>
        <w:rPr>
          <w:rFonts w:hint="eastAsia" w:ascii="仿宋_GB2312" w:eastAsia="仿宋_GB2312" w:cs="仿宋_GB2312"/>
          <w:kern w:val="0"/>
          <w:sz w:val="32"/>
          <w:szCs w:val="32"/>
        </w:rPr>
        <w:t>万元，增长32.66</w:t>
      </w:r>
      <w:r>
        <w:rPr>
          <w:rFonts w:ascii="仿宋_GB2312" w:eastAsia="仿宋_GB2312" w:cs="仿宋_GB2312"/>
          <w:kern w:val="0"/>
          <w:sz w:val="32"/>
          <w:szCs w:val="32"/>
        </w:rPr>
        <w:t xml:space="preserve"> %</w:t>
      </w:r>
      <w:r>
        <w:rPr>
          <w:rFonts w:hint="eastAsia" w:ascii="仿宋" w:hAnsi="仿宋" w:eastAsia="仿宋"/>
          <w:sz w:val="32"/>
        </w:rPr>
        <w:t>，主要是</w:t>
      </w:r>
      <w:r>
        <w:rPr>
          <w:rFonts w:hint="eastAsia" w:ascii="仿宋" w:hAnsi="仿宋" w:eastAsia="仿宋"/>
          <w:sz w:val="32"/>
          <w:szCs w:val="30"/>
        </w:rPr>
        <w:t>人员经费增加。</w:t>
      </w:r>
    </w:p>
    <w:p>
      <w:pPr>
        <w:rPr>
          <w:rFonts w:ascii="楷体" w:hAnsi="楷体" w:eastAsia="楷体"/>
          <w:sz w:val="32"/>
        </w:rPr>
      </w:pPr>
      <w:r>
        <w:rPr>
          <w:rFonts w:hint="eastAsia" w:ascii="楷体" w:hAnsi="楷体" w:eastAsia="楷体"/>
          <w:sz w:val="32"/>
        </w:rPr>
        <w:t xml:space="preserve">    （二）政府采购支出情况舒畅  </w:t>
      </w:r>
    </w:p>
    <w:p>
      <w:pPr>
        <w:ind w:firstLine="640" w:firstLineChars="200"/>
        <w:rPr>
          <w:rFonts w:ascii="仿宋" w:hAnsi="仿宋" w:eastAsia="仿宋"/>
          <w:sz w:val="32"/>
        </w:rPr>
      </w:pPr>
      <w:r>
        <w:rPr>
          <w:rFonts w:hint="eastAsia" w:ascii="仿宋" w:hAnsi="仿宋" w:eastAsia="仿宋"/>
          <w:sz w:val="32"/>
          <w:szCs w:val="32"/>
        </w:rPr>
        <w:t>本单位本年度无政府采购支出数据。</w:t>
      </w:r>
    </w:p>
    <w:p>
      <w:pPr>
        <w:rPr>
          <w:rFonts w:ascii="楷体" w:hAnsi="楷体" w:eastAsia="楷体"/>
          <w:sz w:val="32"/>
        </w:rPr>
      </w:pPr>
      <w:r>
        <w:rPr>
          <w:rFonts w:hint="eastAsia" w:ascii="楷体" w:hAnsi="楷体" w:eastAsia="楷体"/>
          <w:sz w:val="32"/>
        </w:rPr>
        <w:t xml:space="preserve">    （三）国有资产占用情况</w:t>
      </w:r>
    </w:p>
    <w:p>
      <w:pPr>
        <w:spacing w:line="580" w:lineRule="exact"/>
        <w:ind w:firstLine="602"/>
        <w:rPr>
          <w:rFonts w:ascii="仿宋_GB2312" w:eastAsia="仿宋_GB2312" w:cs="仿宋_GB2312"/>
          <w:kern w:val="0"/>
          <w:sz w:val="32"/>
          <w:szCs w:val="32"/>
        </w:rPr>
      </w:pPr>
      <w:r>
        <w:rPr>
          <w:rFonts w:hint="eastAsia" w:ascii="仿宋" w:hAnsi="仿宋" w:eastAsia="仿宋"/>
          <w:sz w:val="32"/>
        </w:rPr>
        <w:t>截至2021年12月31日，榆树市应急管理局共有车辆7  辆，</w:t>
      </w:r>
      <w:r>
        <w:rPr>
          <w:rFonts w:hint="eastAsia" w:ascii="仿宋" w:hAnsi="仿宋" w:eastAsia="仿宋"/>
          <w:sz w:val="32"/>
          <w:szCs w:val="30"/>
        </w:rPr>
        <w:t>其中，</w:t>
      </w:r>
      <w:r>
        <w:rPr>
          <w:rFonts w:hint="eastAsia" w:ascii="仿宋_GB2312" w:eastAsia="仿宋_GB2312" w:cs="仿宋_GB2312"/>
          <w:kern w:val="0"/>
          <w:sz w:val="32"/>
          <w:szCs w:val="32"/>
        </w:rPr>
        <w:t>副</w:t>
      </w:r>
      <w:r>
        <w:rPr>
          <w:rFonts w:hint="eastAsia" w:ascii="仿宋_GB2312" w:hAnsi="等线" w:eastAsia="仿宋_GB2312" w:cs="仿宋_GB2312"/>
          <w:kern w:val="0"/>
          <w:sz w:val="32"/>
          <w:szCs w:val="32"/>
        </w:rPr>
        <w:t>部</w:t>
      </w:r>
      <w:r>
        <w:rPr>
          <w:rFonts w:hint="eastAsia" w:ascii="仿宋_GB2312" w:eastAsia="仿宋_GB2312" w:cs="仿宋_GB2312"/>
          <w:kern w:val="0"/>
          <w:sz w:val="32"/>
          <w:szCs w:val="32"/>
        </w:rPr>
        <w:t>（省）</w:t>
      </w:r>
      <w:r>
        <w:rPr>
          <w:rFonts w:hint="eastAsia" w:ascii="仿宋_GB2312" w:hAnsi="等线" w:eastAsia="仿宋_GB2312" w:cs="仿宋_GB2312"/>
          <w:kern w:val="0"/>
          <w:sz w:val="32"/>
          <w:szCs w:val="32"/>
        </w:rPr>
        <w:t>级</w:t>
      </w:r>
      <w:r>
        <w:rPr>
          <w:rFonts w:hint="eastAsia" w:ascii="仿宋_GB2312" w:eastAsia="仿宋_GB2312" w:cs="仿宋_GB2312"/>
          <w:kern w:val="0"/>
          <w:sz w:val="32"/>
          <w:szCs w:val="32"/>
        </w:rPr>
        <w:t>及以上</w:t>
      </w:r>
      <w:r>
        <w:rPr>
          <w:rFonts w:hint="eastAsia" w:ascii="仿宋_GB2312" w:hAnsi="等线" w:eastAsia="仿宋_GB2312" w:cs="仿宋_GB2312"/>
          <w:kern w:val="0"/>
          <w:sz w:val="32"/>
          <w:szCs w:val="32"/>
        </w:rPr>
        <w:t>领导用车0辆、主要领导干部用车0辆、机要通信用车0辆、应急保障用车5辆、执法执勤用车2辆、特种专业技术用车0辆、离退休干部用车0辆、其他用车0辆；单位价值</w:t>
      </w:r>
      <w:r>
        <w:rPr>
          <w:rFonts w:ascii="仿宋_GB2312" w:hAnsi="等线" w:eastAsia="仿宋_GB2312" w:cs="仿宋_GB2312"/>
          <w:kern w:val="0"/>
          <w:sz w:val="32"/>
          <w:szCs w:val="32"/>
        </w:rPr>
        <w:t>50</w:t>
      </w:r>
      <w:r>
        <w:rPr>
          <w:rFonts w:hint="eastAsia" w:ascii="仿宋_GB2312" w:hAnsi="等线" w:eastAsia="仿宋_GB2312" w:cs="仿宋_GB2312"/>
          <w:kern w:val="0"/>
          <w:sz w:val="32"/>
          <w:szCs w:val="32"/>
        </w:rPr>
        <w:t>万元以上通用设备0台（套）；单位价值</w:t>
      </w:r>
      <w:r>
        <w:rPr>
          <w:rFonts w:ascii="仿宋_GB2312" w:hAnsi="等线" w:eastAsia="仿宋_GB2312" w:cs="仿宋_GB2312"/>
          <w:kern w:val="0"/>
          <w:sz w:val="32"/>
          <w:szCs w:val="32"/>
        </w:rPr>
        <w:t>100</w:t>
      </w:r>
      <w:r>
        <w:rPr>
          <w:rFonts w:hint="eastAsia" w:ascii="仿宋_GB2312" w:hAnsi="等线" w:eastAsia="仿宋_GB2312" w:cs="仿宋_GB2312"/>
          <w:kern w:val="0"/>
          <w:sz w:val="32"/>
          <w:szCs w:val="32"/>
        </w:rPr>
        <w:t>万元以上专用设备0台（套）</w:t>
      </w:r>
      <w:r>
        <w:rPr>
          <w:rFonts w:hint="eastAsia" w:ascii="仿宋_GB2312" w:eastAsia="仿宋_GB2312" w:cs="仿宋_GB2312"/>
          <w:kern w:val="0"/>
          <w:sz w:val="32"/>
          <w:szCs w:val="32"/>
        </w:rPr>
        <w:t>。</w:t>
      </w:r>
    </w:p>
    <w:p>
      <w:pPr>
        <w:spacing w:beforeLines="50"/>
        <w:jc w:val="center"/>
        <w:rPr>
          <w:rFonts w:ascii="方正小标宋简体" w:hAnsi="方正小标宋简体" w:eastAsia="方正小标宋简体"/>
          <w:sz w:val="44"/>
        </w:rPr>
      </w:pPr>
      <w:r>
        <w:rPr>
          <w:rFonts w:hint="eastAsia" w:ascii="方正小标宋简体" w:hAnsi="方正小标宋简体" w:eastAsia="方正小标宋简体"/>
          <w:sz w:val="44"/>
        </w:rPr>
        <w:t>第四部分  名词解释</w:t>
      </w:r>
    </w:p>
    <w:p>
      <w:pPr>
        <w:ind w:firstLine="643" w:firstLineChars="200"/>
        <w:rPr>
          <w:rFonts w:ascii="仿宋" w:hAnsi="仿宋" w:eastAsia="仿宋"/>
          <w:sz w:val="32"/>
        </w:rPr>
      </w:pPr>
      <w:r>
        <w:rPr>
          <w:rFonts w:hint="eastAsia" w:ascii="仿宋" w:hAnsi="仿宋" w:eastAsia="仿宋"/>
          <w:b/>
          <w:bCs/>
          <w:sz w:val="32"/>
        </w:rPr>
        <w:t>一、财政拨款收入：</w:t>
      </w:r>
      <w:r>
        <w:rPr>
          <w:rFonts w:hint="eastAsia" w:ascii="仿宋" w:hAnsi="仿宋" w:eastAsia="仿宋"/>
          <w:sz w:val="32"/>
        </w:rPr>
        <w:t>指单位从同级财政部门取得的财政预算资金。</w:t>
      </w:r>
    </w:p>
    <w:p>
      <w:pPr>
        <w:ind w:firstLine="643" w:firstLineChars="200"/>
        <w:rPr>
          <w:rFonts w:ascii="仿宋" w:hAnsi="仿宋" w:eastAsia="仿宋"/>
          <w:sz w:val="32"/>
        </w:rPr>
      </w:pPr>
      <w:r>
        <w:rPr>
          <w:rFonts w:hint="eastAsia" w:ascii="仿宋" w:hAnsi="仿宋" w:eastAsia="仿宋"/>
          <w:b/>
          <w:bCs/>
          <w:sz w:val="32"/>
        </w:rPr>
        <w:t>二、上级补助收入：</w:t>
      </w:r>
      <w:r>
        <w:rPr>
          <w:rFonts w:hint="eastAsia" w:ascii="仿宋" w:hAnsi="仿宋" w:eastAsia="仿宋"/>
          <w:sz w:val="32"/>
        </w:rPr>
        <w:t>指从主管部门和上级单位取得的非财政补助收入。如***单位的****收入</w:t>
      </w:r>
      <w:r>
        <w:rPr>
          <w:rFonts w:hint="eastAsia" w:ascii="仿宋" w:hAnsi="仿宋" w:eastAsia="仿宋"/>
          <w:sz w:val="32"/>
          <w:szCs w:val="30"/>
        </w:rPr>
        <w:t>。</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三、事业收入：</w:t>
      </w:r>
      <w:r>
        <w:rPr>
          <w:rFonts w:hint="eastAsia" w:ascii="仿宋" w:hAnsi="仿宋" w:eastAsia="仿宋"/>
          <w:sz w:val="32"/>
        </w:rPr>
        <w:t>指事业单位开展专业业务活动及辅助活动取得的收入。如***单位的****收入</w:t>
      </w:r>
      <w:r>
        <w:rPr>
          <w:rFonts w:hint="eastAsia" w:ascii="仿宋" w:hAnsi="仿宋" w:eastAsia="仿宋"/>
          <w:sz w:val="32"/>
          <w:szCs w:val="30"/>
        </w:rPr>
        <w:t>。</w:t>
      </w:r>
    </w:p>
    <w:p>
      <w:pPr>
        <w:autoSpaceDN w:val="0"/>
        <w:spacing w:line="360" w:lineRule="auto"/>
        <w:ind w:firstLine="643" w:firstLineChars="200"/>
        <w:rPr>
          <w:rFonts w:ascii="仿宋" w:hAnsi="仿宋" w:eastAsia="仿宋"/>
          <w:sz w:val="32"/>
          <w:szCs w:val="30"/>
        </w:rPr>
      </w:pPr>
      <w:r>
        <w:rPr>
          <w:rFonts w:hint="eastAsia" w:ascii="仿宋" w:hAnsi="仿宋" w:eastAsia="仿宋"/>
          <w:b/>
          <w:bCs/>
          <w:sz w:val="32"/>
        </w:rPr>
        <w:t>四、经营收入：</w:t>
      </w:r>
      <w:r>
        <w:rPr>
          <w:rFonts w:hint="eastAsia" w:ascii="仿宋" w:hAnsi="仿宋" w:eastAsia="仿宋"/>
          <w:sz w:val="32"/>
        </w:rPr>
        <w:t>指事业单位在专业业务活动及其辅助活动之外开展非独立核算经营活动取得的收入。如***单位的****收入</w:t>
      </w:r>
      <w:r>
        <w:rPr>
          <w:rFonts w:hint="eastAsia" w:ascii="仿宋" w:hAnsi="仿宋" w:eastAsia="仿宋"/>
          <w:sz w:val="32"/>
          <w:szCs w:val="30"/>
        </w:rPr>
        <w:t>。</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五、附属单位上缴收入：</w:t>
      </w:r>
      <w:r>
        <w:rPr>
          <w:rFonts w:hint="eastAsia" w:ascii="仿宋" w:hAnsi="仿宋" w:eastAsia="仿宋"/>
          <w:sz w:val="32"/>
        </w:rPr>
        <w:t>指事业单位附属独立核算单位按照有关规定上缴的收入。如***单位上缴的****收入。</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六、其他收入：</w:t>
      </w:r>
      <w:r>
        <w:rPr>
          <w:rFonts w:hint="eastAsia" w:ascii="仿宋" w:hAnsi="仿宋" w:eastAsia="仿宋"/>
          <w:sz w:val="32"/>
        </w:rPr>
        <w:t>指除上述收入以外的各项收入。包括未纳入财政预算或财政专户管理的投资收益、银行存款利息收入、租金收入、捐赠收入，现金盘盈收入、存货盘盈收入、收回已核销应收及预付款项、无法偿付的应付及预收款项，从省财政以外的同级单位取得的经费、从非省财政取得的经费，以及行政单位收到的财政专户管理资金等。（只保留部门已发生的收入明细，未发生的收入明细删掉）</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七、</w:t>
      </w:r>
      <w:r>
        <w:rPr>
          <w:rFonts w:ascii="仿宋" w:hAnsi="仿宋" w:eastAsia="仿宋"/>
          <w:b/>
          <w:bCs/>
          <w:sz w:val="32"/>
        </w:rPr>
        <w:t>用事业基金弥补收支差额：</w:t>
      </w:r>
      <w:r>
        <w:rPr>
          <w:rFonts w:hint="eastAsia" w:ascii="仿宋" w:hAnsi="仿宋" w:eastAsia="仿宋"/>
          <w:sz w:val="32"/>
        </w:rPr>
        <w:t>指事业单位在当年的财政拨款收入、事业收入和其他收入不足以安排当年支出的情况下，使用以前年度积累的事业基金（事业单位当年收支相抵后按国家规定提取、用于弥补以后年度收支差额的基金）弥补本年度收支缺口的资金。</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八、</w:t>
      </w:r>
      <w:r>
        <w:rPr>
          <w:rFonts w:ascii="仿宋" w:hAnsi="仿宋" w:eastAsia="仿宋"/>
          <w:b/>
          <w:bCs/>
          <w:sz w:val="32"/>
        </w:rPr>
        <w:t>年初结转和结余</w:t>
      </w:r>
      <w:r>
        <w:rPr>
          <w:rFonts w:hint="eastAsia" w:ascii="仿宋" w:hAnsi="仿宋" w:eastAsia="仿宋"/>
          <w:b/>
          <w:bCs/>
          <w:sz w:val="32"/>
        </w:rPr>
        <w:t>：</w:t>
      </w:r>
      <w:r>
        <w:rPr>
          <w:rFonts w:hint="eastAsia" w:ascii="仿宋" w:hAnsi="仿宋" w:eastAsia="仿宋"/>
          <w:sz w:val="32"/>
        </w:rPr>
        <w:t>指单位以前年度尚未完成、结转到本年按有关规定继续使用的资金。</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九、</w:t>
      </w:r>
      <w:r>
        <w:rPr>
          <w:rFonts w:ascii="仿宋" w:hAnsi="仿宋" w:eastAsia="仿宋"/>
          <w:b/>
          <w:bCs/>
          <w:sz w:val="32"/>
        </w:rPr>
        <w:t>结余分配：</w:t>
      </w:r>
      <w:r>
        <w:rPr>
          <w:rFonts w:hint="eastAsia" w:ascii="仿宋" w:hAnsi="仿宋" w:eastAsia="仿宋"/>
          <w:sz w:val="32"/>
        </w:rPr>
        <w:t>指事业单位按照会计制度规定缴纳的所得税以及从非财政补助结余提取的职工福利基金、事业基金等。</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w:t>
      </w:r>
      <w:r>
        <w:rPr>
          <w:rFonts w:ascii="仿宋" w:hAnsi="仿宋" w:eastAsia="仿宋"/>
          <w:b/>
          <w:bCs/>
          <w:sz w:val="32"/>
        </w:rPr>
        <w:t>年末结转和结余：</w:t>
      </w:r>
      <w:r>
        <w:rPr>
          <w:rFonts w:hint="eastAsia" w:ascii="仿宋" w:hAnsi="仿宋" w:eastAsia="仿宋"/>
          <w:sz w:val="32"/>
        </w:rPr>
        <w:t>指单位按有关规定结转到下年或以后年度继续使用的资金。</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十一、</w:t>
      </w:r>
      <w:r>
        <w:rPr>
          <w:rFonts w:ascii="仿宋" w:hAnsi="仿宋" w:eastAsia="仿宋"/>
          <w:b/>
          <w:bCs/>
          <w:sz w:val="32"/>
        </w:rPr>
        <w:t>基本支出：</w:t>
      </w:r>
      <w:r>
        <w:rPr>
          <w:rFonts w:hint="eastAsia" w:ascii="仿宋" w:hAnsi="仿宋" w:eastAsia="仿宋"/>
          <w:sz w:val="32"/>
        </w:rPr>
        <w:t>指单位为</w:t>
      </w:r>
      <w:r>
        <w:rPr>
          <w:rFonts w:ascii="仿宋" w:hAnsi="仿宋" w:eastAsia="仿宋"/>
          <w:sz w:val="32"/>
        </w:rPr>
        <w:t>保障</w:t>
      </w:r>
      <w:r>
        <w:rPr>
          <w:rFonts w:hint="eastAsia" w:ascii="仿宋" w:hAnsi="仿宋" w:eastAsia="仿宋"/>
          <w:sz w:val="32"/>
        </w:rPr>
        <w:t>其</w:t>
      </w:r>
      <w:r>
        <w:rPr>
          <w:rFonts w:ascii="仿宋" w:hAnsi="仿宋" w:eastAsia="仿宋"/>
          <w:sz w:val="32"/>
        </w:rPr>
        <w:t>机构正常运转、完成日常工作任务而发生的</w:t>
      </w:r>
      <w:r>
        <w:rPr>
          <w:rFonts w:hint="eastAsia" w:ascii="仿宋" w:hAnsi="仿宋" w:eastAsia="仿宋"/>
          <w:sz w:val="32"/>
        </w:rPr>
        <w:t>人员支出和公用支出</w:t>
      </w:r>
      <w:r>
        <w:rPr>
          <w:rFonts w:ascii="仿宋" w:hAnsi="仿宋" w:eastAsia="仿宋"/>
          <w:sz w:val="32"/>
        </w:rPr>
        <w:t>。</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十二、</w:t>
      </w:r>
      <w:r>
        <w:rPr>
          <w:rFonts w:ascii="仿宋" w:hAnsi="仿宋" w:eastAsia="仿宋"/>
          <w:b/>
          <w:bCs/>
          <w:sz w:val="32"/>
        </w:rPr>
        <w:t>项目支出：</w:t>
      </w:r>
      <w:r>
        <w:rPr>
          <w:rFonts w:hint="eastAsia" w:ascii="仿宋" w:hAnsi="仿宋" w:eastAsia="仿宋"/>
          <w:sz w:val="32"/>
        </w:rPr>
        <w:t>指单位为完成特</w:t>
      </w:r>
      <w:r>
        <w:rPr>
          <w:rFonts w:ascii="仿宋" w:hAnsi="仿宋" w:eastAsia="仿宋"/>
          <w:sz w:val="32"/>
        </w:rPr>
        <w:t>定行政任务</w:t>
      </w:r>
      <w:r>
        <w:rPr>
          <w:rFonts w:hint="eastAsia" w:ascii="仿宋" w:hAnsi="仿宋" w:eastAsia="仿宋"/>
          <w:sz w:val="32"/>
        </w:rPr>
        <w:t>和</w:t>
      </w:r>
      <w:r>
        <w:rPr>
          <w:rFonts w:ascii="仿宋" w:hAnsi="仿宋" w:eastAsia="仿宋"/>
          <w:sz w:val="32"/>
        </w:rPr>
        <w:t>事业发展目标</w:t>
      </w:r>
      <w:r>
        <w:rPr>
          <w:rFonts w:hint="eastAsia" w:ascii="仿宋" w:hAnsi="仿宋" w:eastAsia="仿宋"/>
          <w:sz w:val="32"/>
        </w:rPr>
        <w:t>在基本支出之外所</w:t>
      </w:r>
      <w:r>
        <w:rPr>
          <w:rFonts w:ascii="仿宋" w:hAnsi="仿宋" w:eastAsia="仿宋"/>
          <w:sz w:val="32"/>
        </w:rPr>
        <w:t>发生的支出。</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十三、</w:t>
      </w:r>
      <w:r>
        <w:rPr>
          <w:rFonts w:ascii="仿宋" w:hAnsi="仿宋" w:eastAsia="仿宋"/>
          <w:b/>
          <w:bCs/>
          <w:sz w:val="32"/>
        </w:rPr>
        <w:t>经营支出：</w:t>
      </w:r>
      <w:r>
        <w:rPr>
          <w:rFonts w:hint="eastAsia" w:ascii="仿宋" w:hAnsi="仿宋" w:eastAsia="仿宋"/>
          <w:sz w:val="32"/>
        </w:rPr>
        <w:t>指</w:t>
      </w:r>
      <w:r>
        <w:rPr>
          <w:rFonts w:ascii="仿宋" w:hAnsi="仿宋" w:eastAsia="仿宋"/>
          <w:sz w:val="32"/>
        </w:rPr>
        <w:t>事业单位在专业</w:t>
      </w:r>
      <w:r>
        <w:rPr>
          <w:rFonts w:hint="eastAsia" w:ascii="仿宋" w:hAnsi="仿宋" w:eastAsia="仿宋"/>
          <w:sz w:val="32"/>
        </w:rPr>
        <w:t>业务</w:t>
      </w:r>
      <w:r>
        <w:rPr>
          <w:rFonts w:ascii="仿宋" w:hAnsi="仿宋" w:eastAsia="仿宋"/>
          <w:sz w:val="32"/>
        </w:rPr>
        <w:t>活动及</w:t>
      </w:r>
      <w:r>
        <w:rPr>
          <w:rFonts w:hint="eastAsia" w:ascii="仿宋" w:hAnsi="仿宋" w:eastAsia="仿宋"/>
          <w:sz w:val="32"/>
        </w:rPr>
        <w:t>其</w:t>
      </w:r>
      <w:r>
        <w:rPr>
          <w:rFonts w:ascii="仿宋" w:hAnsi="仿宋" w:eastAsia="仿宋"/>
          <w:sz w:val="32"/>
        </w:rPr>
        <w:t>辅助活动之外开展非独立核算经营活动发生的支出。</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十四、</w:t>
      </w:r>
      <w:r>
        <w:rPr>
          <w:rFonts w:ascii="仿宋" w:hAnsi="仿宋" w:eastAsia="仿宋"/>
          <w:b/>
          <w:bCs/>
          <w:sz w:val="32"/>
        </w:rPr>
        <w:t>上缴上级支出：</w:t>
      </w:r>
      <w:r>
        <w:rPr>
          <w:rFonts w:hint="eastAsia" w:ascii="仿宋" w:hAnsi="仿宋" w:eastAsia="仿宋"/>
          <w:sz w:val="32"/>
        </w:rPr>
        <w:t>指事业单位</w:t>
      </w:r>
      <w:r>
        <w:rPr>
          <w:rFonts w:ascii="仿宋" w:hAnsi="仿宋" w:eastAsia="仿宋"/>
          <w:sz w:val="32"/>
        </w:rPr>
        <w:t>按照</w:t>
      </w:r>
      <w:r>
        <w:rPr>
          <w:rFonts w:hint="eastAsia" w:ascii="仿宋" w:hAnsi="仿宋" w:eastAsia="仿宋"/>
          <w:sz w:val="32"/>
        </w:rPr>
        <w:t>有关</w:t>
      </w:r>
      <w:r>
        <w:rPr>
          <w:rFonts w:ascii="仿宋" w:hAnsi="仿宋" w:eastAsia="仿宋"/>
          <w:sz w:val="32"/>
        </w:rPr>
        <w:t>规定上缴上级单位的支出。</w:t>
      </w:r>
      <w:r>
        <w:rPr>
          <w:rFonts w:hint="eastAsia" w:ascii="仿宋" w:hAnsi="仿宋" w:eastAsia="仿宋"/>
          <w:sz w:val="32"/>
        </w:rPr>
        <w:t>主要是*****（单位名称）上缴给****（单位名称）的****（资金名称）资金。</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十五、</w:t>
      </w:r>
      <w:r>
        <w:rPr>
          <w:rFonts w:ascii="仿宋" w:hAnsi="仿宋" w:eastAsia="仿宋"/>
          <w:b/>
          <w:bCs/>
          <w:sz w:val="32"/>
        </w:rPr>
        <w:t>对附属单位补助支出：</w:t>
      </w:r>
      <w:r>
        <w:rPr>
          <w:rFonts w:hint="eastAsia" w:ascii="仿宋" w:hAnsi="仿宋" w:eastAsia="仿宋"/>
          <w:sz w:val="32"/>
        </w:rPr>
        <w:t>指</w:t>
      </w:r>
      <w:r>
        <w:rPr>
          <w:rFonts w:ascii="仿宋" w:hAnsi="仿宋" w:eastAsia="仿宋"/>
          <w:sz w:val="32"/>
        </w:rPr>
        <w:t>事业单位用财政补助收入之外的收入对附属单位补助发生的支出。</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十六、“三公”经费：</w:t>
      </w:r>
      <w:r>
        <w:rPr>
          <w:rFonts w:hint="eastAsia" w:ascii="仿宋" w:hAnsi="仿宋" w:eastAsia="仿宋"/>
          <w:sz w:val="32"/>
        </w:rPr>
        <w:t>纳入省级财政预决算管理的“三公”经费，是指省级部门用财政拨款安排的因公出国（境）费、公务用车购置及运行费和公务接待费。是党政机关维持运转或完成特定工作任务所开支的相关支出，是政府行政开支的一部分。其中，</w:t>
      </w:r>
      <w:r>
        <w:rPr>
          <w:rFonts w:ascii="仿宋" w:hAnsi="仿宋" w:eastAsia="仿宋"/>
          <w:sz w:val="32"/>
        </w:rPr>
        <w:t>因公出国（境）费</w:t>
      </w:r>
      <w:r>
        <w:rPr>
          <w:rFonts w:hint="eastAsia" w:ascii="仿宋" w:hAnsi="仿宋" w:eastAsia="仿宋"/>
          <w:sz w:val="32"/>
        </w:rPr>
        <w:t>反映公务出国（境）的</w:t>
      </w:r>
      <w:r>
        <w:rPr>
          <w:rFonts w:ascii="仿宋" w:hAnsi="仿宋" w:eastAsia="仿宋"/>
          <w:sz w:val="32"/>
        </w:rPr>
        <w:t>国际旅费、国外城市间交通费、住宿费、伙食费、培训费、公杂费等支出</w:t>
      </w:r>
      <w:r>
        <w:rPr>
          <w:rFonts w:hint="eastAsia" w:ascii="仿宋" w:hAnsi="仿宋" w:eastAsia="仿宋"/>
          <w:sz w:val="32"/>
        </w:rPr>
        <w:t>；公务用车购置及运行费反映单位公务用车车辆购置支出（含车辆购置税）及</w:t>
      </w:r>
      <w:r>
        <w:rPr>
          <w:rFonts w:ascii="仿宋" w:hAnsi="仿宋" w:eastAsia="仿宋"/>
          <w:sz w:val="32"/>
        </w:rPr>
        <w:t>燃料费、维修费、过桥过路费、保险费、安全奖励费等支出</w:t>
      </w:r>
      <w:r>
        <w:rPr>
          <w:rFonts w:hint="eastAsia" w:ascii="仿宋" w:hAnsi="仿宋" w:eastAsia="仿宋"/>
          <w:sz w:val="32"/>
        </w:rPr>
        <w:t>；</w:t>
      </w:r>
      <w:r>
        <w:rPr>
          <w:rFonts w:ascii="仿宋" w:hAnsi="仿宋" w:eastAsia="仿宋"/>
          <w:sz w:val="32"/>
        </w:rPr>
        <w:t>公务接待费</w:t>
      </w:r>
      <w:r>
        <w:rPr>
          <w:rFonts w:hint="eastAsia" w:ascii="仿宋" w:hAnsi="仿宋" w:eastAsia="仿宋"/>
          <w:sz w:val="32"/>
        </w:rPr>
        <w:t>反映</w:t>
      </w:r>
      <w:r>
        <w:rPr>
          <w:rFonts w:ascii="仿宋" w:hAnsi="仿宋" w:eastAsia="仿宋"/>
          <w:sz w:val="32"/>
        </w:rPr>
        <w:t>单位按规定开支的各类公务接待（含外宾接待）</w:t>
      </w:r>
      <w:r>
        <w:rPr>
          <w:rFonts w:hint="eastAsia" w:ascii="仿宋" w:hAnsi="仿宋" w:eastAsia="仿宋"/>
          <w:sz w:val="32"/>
        </w:rPr>
        <w:t>支出</w:t>
      </w:r>
      <w:r>
        <w:rPr>
          <w:rFonts w:ascii="仿宋" w:hAnsi="仿宋" w:eastAsia="仿宋"/>
          <w:sz w:val="32"/>
        </w:rPr>
        <w:t>。</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十七、机关运行经费：</w:t>
      </w:r>
      <w:r>
        <w:rPr>
          <w:rFonts w:hint="eastAsia" w:ascii="仿宋" w:hAnsi="仿宋" w:eastAsia="仿宋"/>
          <w:sz w:val="32"/>
        </w:rPr>
        <w:t>指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十八、******</w:t>
      </w:r>
      <w:r>
        <w:rPr>
          <w:rFonts w:hint="eastAsia" w:ascii="仿宋" w:hAnsi="仿宋" w:eastAsia="仿宋"/>
          <w:sz w:val="32"/>
        </w:rPr>
        <w:t>（对部门使用的所有“项”级政府收支分类科目，参照《2021年政府收支分类科目》中的科目说明和中央部门决算公开模板进行说明）：</w:t>
      </w:r>
    </w:p>
    <w:p>
      <w:pPr>
        <w:autoSpaceDN w:val="0"/>
        <w:spacing w:line="360" w:lineRule="auto"/>
        <w:ind w:firstLine="643" w:firstLineChars="200"/>
        <w:rPr>
          <w:rFonts w:ascii="仿宋" w:hAnsi="仿宋" w:eastAsia="仿宋"/>
          <w:sz w:val="32"/>
        </w:rPr>
      </w:pPr>
      <w:r>
        <w:rPr>
          <w:rFonts w:hint="eastAsia" w:ascii="仿宋" w:hAnsi="仿宋" w:eastAsia="仿宋"/>
          <w:b/>
          <w:bCs/>
          <w:sz w:val="32"/>
        </w:rPr>
        <w:t>十九、</w:t>
      </w:r>
      <w:r>
        <w:rPr>
          <w:rFonts w:hint="eastAsia" w:ascii="仿宋" w:hAnsi="仿宋" w:eastAsia="仿宋"/>
          <w:sz w:val="32"/>
          <w:szCs w:val="30"/>
        </w:rPr>
        <w:t>……（同上）</w:t>
      </w: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swiss"/>
    <w:pitch w:val="default"/>
    <w:sig w:usb0="E0002AFF" w:usb1="C0007843" w:usb2="00000009" w:usb3="00000000" w:csb0="400001FF" w:csb1="FFFF0000"/>
  </w:font>
  <w:font w:name="方正小标宋简体">
    <w:panose1 w:val="02010601030101010101"/>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center" w:yAlign="top"/>
      <w:pBdr>
        <w:between w:val="none" w:color="auto" w:sz="0" w:space="0"/>
      </w:pBdr>
    </w:pPr>
    <w:r>
      <w:fldChar w:fldCharType="begin"/>
    </w:r>
    <w:r>
      <w:rPr>
        <w:rStyle w:val="8"/>
      </w:rPr>
      <w:instrText xml:space="preserve"> PAGE  </w:instrText>
    </w:r>
    <w:r>
      <w:fldChar w:fldCharType="separate"/>
    </w:r>
    <w:r>
      <w:rPr>
        <w:rStyle w:val="8"/>
      </w:rPr>
      <w:t>2</w:t>
    </w:r>
    <w:r>
      <w:fldChar w:fldCharType="end"/>
    </w:r>
  </w:p>
  <w:p>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97FDECD"/>
    <w:multiLevelType w:val="singleLevel"/>
    <w:tmpl w:val="597FDECD"/>
    <w:lvl w:ilvl="0" w:tentative="0">
      <w:start w:val="1"/>
      <w:numFmt w:val="chineseCounting"/>
      <w:suff w:val="nothing"/>
      <w:lvlText w:val="%1、"/>
      <w:lvlJc w:val="left"/>
    </w:lvl>
  </w:abstractNum>
  <w:abstractNum w:abstractNumId="1">
    <w:nsid w:val="5B5FFFD8"/>
    <w:multiLevelType w:val="singleLevel"/>
    <w:tmpl w:val="5B5FFFD8"/>
    <w:lvl w:ilvl="0" w:tentative="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doNotValidateAgainstSchema/>
  <w:doNotDemarcateInvalidXml/>
  <w:compat>
    <w:spaceForUL/>
    <w:balanceSingleByteDoubleByteWidth/>
    <w:doNotLeaveBackslashAlone/>
    <w:doNotExpandShiftReturn/>
    <w:adjustLineHeightInTable/>
    <w:useFELayout/>
    <w:compatSetting w:name="compatibilityMode" w:uri="http://schemas.microsoft.com/office/word" w:val="12"/>
  </w:compat>
  <w:docVars>
    <w:docVar w:name="commondata" w:val="eyJoZGlkIjoiNjcxOTg0NDAxMDU4NDUwMjA3MjAzYzNjOGVkYjdkOWEifQ=="/>
  </w:docVars>
  <w:rsids>
    <w:rsidRoot w:val="00172A27"/>
    <w:rsid w:val="00030377"/>
    <w:rsid w:val="0003327A"/>
    <w:rsid w:val="0004549D"/>
    <w:rsid w:val="00047CE0"/>
    <w:rsid w:val="0006372F"/>
    <w:rsid w:val="00077103"/>
    <w:rsid w:val="0008356C"/>
    <w:rsid w:val="000B328C"/>
    <w:rsid w:val="000C03D5"/>
    <w:rsid w:val="000C21F2"/>
    <w:rsid w:val="000D4CF2"/>
    <w:rsid w:val="000E5FED"/>
    <w:rsid w:val="0011688D"/>
    <w:rsid w:val="00117E36"/>
    <w:rsid w:val="001226CF"/>
    <w:rsid w:val="001264B5"/>
    <w:rsid w:val="00140A6B"/>
    <w:rsid w:val="001635CE"/>
    <w:rsid w:val="00165B71"/>
    <w:rsid w:val="00171EE0"/>
    <w:rsid w:val="00172A27"/>
    <w:rsid w:val="00185D2C"/>
    <w:rsid w:val="001901D0"/>
    <w:rsid w:val="001A0649"/>
    <w:rsid w:val="001B0926"/>
    <w:rsid w:val="001B144F"/>
    <w:rsid w:val="001B2990"/>
    <w:rsid w:val="001C4B44"/>
    <w:rsid w:val="001F2A45"/>
    <w:rsid w:val="001F2E4A"/>
    <w:rsid w:val="002022DE"/>
    <w:rsid w:val="002264A4"/>
    <w:rsid w:val="002C2730"/>
    <w:rsid w:val="002E7A9A"/>
    <w:rsid w:val="00303A54"/>
    <w:rsid w:val="00305FC6"/>
    <w:rsid w:val="003278D8"/>
    <w:rsid w:val="003405DB"/>
    <w:rsid w:val="003425BC"/>
    <w:rsid w:val="003516CE"/>
    <w:rsid w:val="00380695"/>
    <w:rsid w:val="003A39C7"/>
    <w:rsid w:val="003A472A"/>
    <w:rsid w:val="003C2237"/>
    <w:rsid w:val="003C2728"/>
    <w:rsid w:val="00405B48"/>
    <w:rsid w:val="004368FE"/>
    <w:rsid w:val="00445D02"/>
    <w:rsid w:val="004477D7"/>
    <w:rsid w:val="0045724A"/>
    <w:rsid w:val="004922D3"/>
    <w:rsid w:val="004C1D40"/>
    <w:rsid w:val="004D4FF2"/>
    <w:rsid w:val="004E1B38"/>
    <w:rsid w:val="004F2BEA"/>
    <w:rsid w:val="00502032"/>
    <w:rsid w:val="00552D11"/>
    <w:rsid w:val="00587513"/>
    <w:rsid w:val="00593840"/>
    <w:rsid w:val="0059497D"/>
    <w:rsid w:val="005A7848"/>
    <w:rsid w:val="005C3EFC"/>
    <w:rsid w:val="005C6473"/>
    <w:rsid w:val="005D420A"/>
    <w:rsid w:val="005E131A"/>
    <w:rsid w:val="005E6E07"/>
    <w:rsid w:val="005F56A2"/>
    <w:rsid w:val="006031F1"/>
    <w:rsid w:val="00613C24"/>
    <w:rsid w:val="00627A17"/>
    <w:rsid w:val="00633860"/>
    <w:rsid w:val="00652E45"/>
    <w:rsid w:val="00671591"/>
    <w:rsid w:val="00682CD9"/>
    <w:rsid w:val="00683BEC"/>
    <w:rsid w:val="00692039"/>
    <w:rsid w:val="006951EE"/>
    <w:rsid w:val="006A729C"/>
    <w:rsid w:val="006D4085"/>
    <w:rsid w:val="006F18F5"/>
    <w:rsid w:val="007041F5"/>
    <w:rsid w:val="007376D0"/>
    <w:rsid w:val="00746889"/>
    <w:rsid w:val="00747CD1"/>
    <w:rsid w:val="007826B8"/>
    <w:rsid w:val="00786916"/>
    <w:rsid w:val="007A7776"/>
    <w:rsid w:val="007C4AB8"/>
    <w:rsid w:val="007F764C"/>
    <w:rsid w:val="00803989"/>
    <w:rsid w:val="00804332"/>
    <w:rsid w:val="00810078"/>
    <w:rsid w:val="00814FD0"/>
    <w:rsid w:val="00846256"/>
    <w:rsid w:val="0085070B"/>
    <w:rsid w:val="008A34DF"/>
    <w:rsid w:val="008A6017"/>
    <w:rsid w:val="008C4FC2"/>
    <w:rsid w:val="008C638E"/>
    <w:rsid w:val="008E0F39"/>
    <w:rsid w:val="0090403A"/>
    <w:rsid w:val="00915519"/>
    <w:rsid w:val="00920A16"/>
    <w:rsid w:val="0092302E"/>
    <w:rsid w:val="00931C2B"/>
    <w:rsid w:val="00936F17"/>
    <w:rsid w:val="00940713"/>
    <w:rsid w:val="009519C2"/>
    <w:rsid w:val="0099060F"/>
    <w:rsid w:val="00A12FA5"/>
    <w:rsid w:val="00A40A7B"/>
    <w:rsid w:val="00A53409"/>
    <w:rsid w:val="00A816B1"/>
    <w:rsid w:val="00A943EC"/>
    <w:rsid w:val="00AA4948"/>
    <w:rsid w:val="00AA7D4B"/>
    <w:rsid w:val="00AB0A7A"/>
    <w:rsid w:val="00AB5C2B"/>
    <w:rsid w:val="00AC4905"/>
    <w:rsid w:val="00AD39D9"/>
    <w:rsid w:val="00AD5EE9"/>
    <w:rsid w:val="00AE6EEE"/>
    <w:rsid w:val="00AF5A49"/>
    <w:rsid w:val="00B131A9"/>
    <w:rsid w:val="00B453C4"/>
    <w:rsid w:val="00B55436"/>
    <w:rsid w:val="00B77953"/>
    <w:rsid w:val="00B83F1C"/>
    <w:rsid w:val="00BA101A"/>
    <w:rsid w:val="00BE2F51"/>
    <w:rsid w:val="00BF14DD"/>
    <w:rsid w:val="00C05D3E"/>
    <w:rsid w:val="00C30D0C"/>
    <w:rsid w:val="00C558A7"/>
    <w:rsid w:val="00C95845"/>
    <w:rsid w:val="00CA0906"/>
    <w:rsid w:val="00CB6AF0"/>
    <w:rsid w:val="00CC24B1"/>
    <w:rsid w:val="00CD6B4B"/>
    <w:rsid w:val="00CF1BF1"/>
    <w:rsid w:val="00D21B92"/>
    <w:rsid w:val="00D307DD"/>
    <w:rsid w:val="00D56EEF"/>
    <w:rsid w:val="00D65B9D"/>
    <w:rsid w:val="00D71A73"/>
    <w:rsid w:val="00D94D7D"/>
    <w:rsid w:val="00DA0EF4"/>
    <w:rsid w:val="00DD0315"/>
    <w:rsid w:val="00DE37B1"/>
    <w:rsid w:val="00E002F7"/>
    <w:rsid w:val="00E004C9"/>
    <w:rsid w:val="00E31020"/>
    <w:rsid w:val="00E4602A"/>
    <w:rsid w:val="00E57ACB"/>
    <w:rsid w:val="00E57F91"/>
    <w:rsid w:val="00E67C51"/>
    <w:rsid w:val="00EA6621"/>
    <w:rsid w:val="00EA6FB0"/>
    <w:rsid w:val="00EB293D"/>
    <w:rsid w:val="00ED0C42"/>
    <w:rsid w:val="00EF3AF1"/>
    <w:rsid w:val="00F036BB"/>
    <w:rsid w:val="00F14E68"/>
    <w:rsid w:val="00F1593B"/>
    <w:rsid w:val="00F4669D"/>
    <w:rsid w:val="00F6416E"/>
    <w:rsid w:val="00F71100"/>
    <w:rsid w:val="00FF644D"/>
    <w:rsid w:val="01291CF3"/>
    <w:rsid w:val="013836B1"/>
    <w:rsid w:val="01C17C29"/>
    <w:rsid w:val="01D25F7D"/>
    <w:rsid w:val="02631927"/>
    <w:rsid w:val="02935584"/>
    <w:rsid w:val="039950F2"/>
    <w:rsid w:val="03AF0195"/>
    <w:rsid w:val="03EB5A73"/>
    <w:rsid w:val="045B3430"/>
    <w:rsid w:val="050474A7"/>
    <w:rsid w:val="051B5087"/>
    <w:rsid w:val="052D7500"/>
    <w:rsid w:val="056D7D0D"/>
    <w:rsid w:val="06BA67ED"/>
    <w:rsid w:val="078D0265"/>
    <w:rsid w:val="07BA0FF2"/>
    <w:rsid w:val="07D74041"/>
    <w:rsid w:val="08461F91"/>
    <w:rsid w:val="08E14DC5"/>
    <w:rsid w:val="099D2019"/>
    <w:rsid w:val="09ED7D19"/>
    <w:rsid w:val="09FC0338"/>
    <w:rsid w:val="0B365A8D"/>
    <w:rsid w:val="0B4C5D40"/>
    <w:rsid w:val="0C455F50"/>
    <w:rsid w:val="0C48384D"/>
    <w:rsid w:val="0CDB4CF6"/>
    <w:rsid w:val="0DA93E4C"/>
    <w:rsid w:val="0E82019F"/>
    <w:rsid w:val="0E913F8C"/>
    <w:rsid w:val="0EC042D8"/>
    <w:rsid w:val="0EFA5D2F"/>
    <w:rsid w:val="0FD54E0B"/>
    <w:rsid w:val="10057FFD"/>
    <w:rsid w:val="10C74779"/>
    <w:rsid w:val="10DE2F25"/>
    <w:rsid w:val="115F0793"/>
    <w:rsid w:val="11E8486E"/>
    <w:rsid w:val="12277E38"/>
    <w:rsid w:val="12A612BB"/>
    <w:rsid w:val="12B83979"/>
    <w:rsid w:val="12CE5DDA"/>
    <w:rsid w:val="13281E39"/>
    <w:rsid w:val="14424B64"/>
    <w:rsid w:val="1451667D"/>
    <w:rsid w:val="149A7217"/>
    <w:rsid w:val="15C422A6"/>
    <w:rsid w:val="16215284"/>
    <w:rsid w:val="16BA16A6"/>
    <w:rsid w:val="17A9728B"/>
    <w:rsid w:val="17B3432A"/>
    <w:rsid w:val="18BD2904"/>
    <w:rsid w:val="18D2447F"/>
    <w:rsid w:val="18DD2B55"/>
    <w:rsid w:val="190350A8"/>
    <w:rsid w:val="19503578"/>
    <w:rsid w:val="19FB6DA2"/>
    <w:rsid w:val="1A011720"/>
    <w:rsid w:val="1A3056D8"/>
    <w:rsid w:val="1ABD4924"/>
    <w:rsid w:val="1B4C26D6"/>
    <w:rsid w:val="1B6A01A5"/>
    <w:rsid w:val="1B704521"/>
    <w:rsid w:val="1BBD09F3"/>
    <w:rsid w:val="1BF264AC"/>
    <w:rsid w:val="1C811E8C"/>
    <w:rsid w:val="1C833AB3"/>
    <w:rsid w:val="1CE741A3"/>
    <w:rsid w:val="1CF35D0C"/>
    <w:rsid w:val="1D5B5A38"/>
    <w:rsid w:val="1DCC0726"/>
    <w:rsid w:val="1DF24545"/>
    <w:rsid w:val="1E1160FD"/>
    <w:rsid w:val="1E9D4136"/>
    <w:rsid w:val="1EA81C47"/>
    <w:rsid w:val="1EB43A3C"/>
    <w:rsid w:val="1ED7600F"/>
    <w:rsid w:val="1F4D411B"/>
    <w:rsid w:val="1F7A571D"/>
    <w:rsid w:val="208A259E"/>
    <w:rsid w:val="216E09DF"/>
    <w:rsid w:val="21786EFC"/>
    <w:rsid w:val="22382A16"/>
    <w:rsid w:val="22685619"/>
    <w:rsid w:val="22A9011F"/>
    <w:rsid w:val="235A30FF"/>
    <w:rsid w:val="235A39D9"/>
    <w:rsid w:val="2369129F"/>
    <w:rsid w:val="23824ACD"/>
    <w:rsid w:val="23E94167"/>
    <w:rsid w:val="242878FE"/>
    <w:rsid w:val="24AA776D"/>
    <w:rsid w:val="24B66733"/>
    <w:rsid w:val="24C96BE6"/>
    <w:rsid w:val="24DE2AB2"/>
    <w:rsid w:val="24EB7A4C"/>
    <w:rsid w:val="251730EB"/>
    <w:rsid w:val="25390094"/>
    <w:rsid w:val="254C4636"/>
    <w:rsid w:val="267C3C0F"/>
    <w:rsid w:val="26CA1E67"/>
    <w:rsid w:val="26D9681D"/>
    <w:rsid w:val="27615C36"/>
    <w:rsid w:val="276A0F6E"/>
    <w:rsid w:val="27F60471"/>
    <w:rsid w:val="286F7557"/>
    <w:rsid w:val="28CB487D"/>
    <w:rsid w:val="29A34F43"/>
    <w:rsid w:val="29B215CF"/>
    <w:rsid w:val="2A046C55"/>
    <w:rsid w:val="2A345118"/>
    <w:rsid w:val="2A6A1929"/>
    <w:rsid w:val="2B0C5E72"/>
    <w:rsid w:val="2B4F17D3"/>
    <w:rsid w:val="2B687DF3"/>
    <w:rsid w:val="2BD56AA4"/>
    <w:rsid w:val="2C740706"/>
    <w:rsid w:val="2C933EA5"/>
    <w:rsid w:val="2CA27B50"/>
    <w:rsid w:val="2CAA0F45"/>
    <w:rsid w:val="2CD54307"/>
    <w:rsid w:val="2CF649E8"/>
    <w:rsid w:val="2D140094"/>
    <w:rsid w:val="2D376497"/>
    <w:rsid w:val="2E3A1976"/>
    <w:rsid w:val="2E4733B9"/>
    <w:rsid w:val="2E663CE3"/>
    <w:rsid w:val="2E8E4319"/>
    <w:rsid w:val="2E973096"/>
    <w:rsid w:val="2E9C15FE"/>
    <w:rsid w:val="2FA9194B"/>
    <w:rsid w:val="2FDC43A0"/>
    <w:rsid w:val="2FE41633"/>
    <w:rsid w:val="2FF16D2E"/>
    <w:rsid w:val="303B6D52"/>
    <w:rsid w:val="30404DA3"/>
    <w:rsid w:val="311B2DB5"/>
    <w:rsid w:val="31200E48"/>
    <w:rsid w:val="312F40AC"/>
    <w:rsid w:val="31696AB3"/>
    <w:rsid w:val="3212787A"/>
    <w:rsid w:val="333E5CF6"/>
    <w:rsid w:val="33CE6DF1"/>
    <w:rsid w:val="33D2753F"/>
    <w:rsid w:val="33D5291B"/>
    <w:rsid w:val="34A343A7"/>
    <w:rsid w:val="34B67240"/>
    <w:rsid w:val="34BC093C"/>
    <w:rsid w:val="34DE5E1D"/>
    <w:rsid w:val="34ED4416"/>
    <w:rsid w:val="35720CEF"/>
    <w:rsid w:val="35A61CEB"/>
    <w:rsid w:val="360B58E8"/>
    <w:rsid w:val="36447551"/>
    <w:rsid w:val="368A773C"/>
    <w:rsid w:val="36B47E29"/>
    <w:rsid w:val="36EE7B2A"/>
    <w:rsid w:val="38D416BA"/>
    <w:rsid w:val="38F74948"/>
    <w:rsid w:val="3922614F"/>
    <w:rsid w:val="395E7574"/>
    <w:rsid w:val="3A201838"/>
    <w:rsid w:val="3A207555"/>
    <w:rsid w:val="3ABA6DAF"/>
    <w:rsid w:val="3B007FD0"/>
    <w:rsid w:val="3B60095D"/>
    <w:rsid w:val="3B824694"/>
    <w:rsid w:val="3BAA4295"/>
    <w:rsid w:val="3BF86E47"/>
    <w:rsid w:val="3C1C2D73"/>
    <w:rsid w:val="3C5926B5"/>
    <w:rsid w:val="3CBA7FA6"/>
    <w:rsid w:val="3D257AE9"/>
    <w:rsid w:val="3D4D1962"/>
    <w:rsid w:val="3D561BE0"/>
    <w:rsid w:val="3EAB28E4"/>
    <w:rsid w:val="3EBF597A"/>
    <w:rsid w:val="3F847C6B"/>
    <w:rsid w:val="3F8A54A4"/>
    <w:rsid w:val="3FFA71C8"/>
    <w:rsid w:val="401F5D22"/>
    <w:rsid w:val="404207E8"/>
    <w:rsid w:val="4057425D"/>
    <w:rsid w:val="4080075D"/>
    <w:rsid w:val="40B71CA9"/>
    <w:rsid w:val="416044FF"/>
    <w:rsid w:val="417267DD"/>
    <w:rsid w:val="41952491"/>
    <w:rsid w:val="41BE4B11"/>
    <w:rsid w:val="41F737C5"/>
    <w:rsid w:val="42161774"/>
    <w:rsid w:val="421C2E70"/>
    <w:rsid w:val="4244364D"/>
    <w:rsid w:val="42543E02"/>
    <w:rsid w:val="42812842"/>
    <w:rsid w:val="42E32929"/>
    <w:rsid w:val="430B188A"/>
    <w:rsid w:val="447D1A52"/>
    <w:rsid w:val="44840D0E"/>
    <w:rsid w:val="44A45BD7"/>
    <w:rsid w:val="44A85C75"/>
    <w:rsid w:val="44BE15B5"/>
    <w:rsid w:val="44C9341E"/>
    <w:rsid w:val="46125131"/>
    <w:rsid w:val="46952593"/>
    <w:rsid w:val="46D949EB"/>
    <w:rsid w:val="475F4668"/>
    <w:rsid w:val="47E07977"/>
    <w:rsid w:val="484B52B5"/>
    <w:rsid w:val="48626CF9"/>
    <w:rsid w:val="48700F9E"/>
    <w:rsid w:val="487A58C4"/>
    <w:rsid w:val="48951DA6"/>
    <w:rsid w:val="495F4397"/>
    <w:rsid w:val="4A034158"/>
    <w:rsid w:val="4A432D80"/>
    <w:rsid w:val="4AF84FA0"/>
    <w:rsid w:val="4AFC450A"/>
    <w:rsid w:val="4B6A1F48"/>
    <w:rsid w:val="4B8240C1"/>
    <w:rsid w:val="4BCC7805"/>
    <w:rsid w:val="4BF042B3"/>
    <w:rsid w:val="4C3837E9"/>
    <w:rsid w:val="4C4D6C9D"/>
    <w:rsid w:val="4C835077"/>
    <w:rsid w:val="4CF54679"/>
    <w:rsid w:val="4D0E758C"/>
    <w:rsid w:val="4D38183D"/>
    <w:rsid w:val="4D661F7C"/>
    <w:rsid w:val="4D7321F1"/>
    <w:rsid w:val="4D90277D"/>
    <w:rsid w:val="4D967D9A"/>
    <w:rsid w:val="4DAE4B36"/>
    <w:rsid w:val="4DCF0D74"/>
    <w:rsid w:val="4DED1B7E"/>
    <w:rsid w:val="4DEF6D1B"/>
    <w:rsid w:val="4E375881"/>
    <w:rsid w:val="4E945B07"/>
    <w:rsid w:val="4F4F0196"/>
    <w:rsid w:val="4F7030A6"/>
    <w:rsid w:val="50A31D1F"/>
    <w:rsid w:val="50C44111"/>
    <w:rsid w:val="50CA3EFF"/>
    <w:rsid w:val="50D90943"/>
    <w:rsid w:val="51595B90"/>
    <w:rsid w:val="524B622E"/>
    <w:rsid w:val="525C2AAA"/>
    <w:rsid w:val="527F60E4"/>
    <w:rsid w:val="52DE564C"/>
    <w:rsid w:val="53055976"/>
    <w:rsid w:val="53B51A78"/>
    <w:rsid w:val="542C6F04"/>
    <w:rsid w:val="5433756D"/>
    <w:rsid w:val="544B604C"/>
    <w:rsid w:val="555417D6"/>
    <w:rsid w:val="55EE1B92"/>
    <w:rsid w:val="56145930"/>
    <w:rsid w:val="56276642"/>
    <w:rsid w:val="563F5C38"/>
    <w:rsid w:val="565E2966"/>
    <w:rsid w:val="568650EC"/>
    <w:rsid w:val="569A0092"/>
    <w:rsid w:val="56D22439"/>
    <w:rsid w:val="573C1FDD"/>
    <w:rsid w:val="58AC562C"/>
    <w:rsid w:val="58AF1FE4"/>
    <w:rsid w:val="5919472F"/>
    <w:rsid w:val="594B2916"/>
    <w:rsid w:val="598C5E68"/>
    <w:rsid w:val="59B913DD"/>
    <w:rsid w:val="59C15939"/>
    <w:rsid w:val="59E34416"/>
    <w:rsid w:val="5A8F7B66"/>
    <w:rsid w:val="5A985374"/>
    <w:rsid w:val="5AC84640"/>
    <w:rsid w:val="5B594BDF"/>
    <w:rsid w:val="5B67293C"/>
    <w:rsid w:val="5BC1770A"/>
    <w:rsid w:val="5BD52F4B"/>
    <w:rsid w:val="5C1E1D99"/>
    <w:rsid w:val="5C48142B"/>
    <w:rsid w:val="5C5E0E8C"/>
    <w:rsid w:val="5C824D18"/>
    <w:rsid w:val="5CF03C4B"/>
    <w:rsid w:val="5DBF1EE1"/>
    <w:rsid w:val="5DCB486F"/>
    <w:rsid w:val="5DE51A21"/>
    <w:rsid w:val="5E5A6C63"/>
    <w:rsid w:val="5EA2502E"/>
    <w:rsid w:val="5EB027A5"/>
    <w:rsid w:val="5ECE5F09"/>
    <w:rsid w:val="5EF3424E"/>
    <w:rsid w:val="5EF65BE6"/>
    <w:rsid w:val="5F520416"/>
    <w:rsid w:val="5F636D4B"/>
    <w:rsid w:val="5FF75A67"/>
    <w:rsid w:val="609A0319"/>
    <w:rsid w:val="609B7413"/>
    <w:rsid w:val="60A43501"/>
    <w:rsid w:val="60EB57EC"/>
    <w:rsid w:val="610E4EF3"/>
    <w:rsid w:val="61342421"/>
    <w:rsid w:val="619B4865"/>
    <w:rsid w:val="623931DF"/>
    <w:rsid w:val="62803AAB"/>
    <w:rsid w:val="62FA2958"/>
    <w:rsid w:val="63647DB9"/>
    <w:rsid w:val="637C576C"/>
    <w:rsid w:val="639A23F6"/>
    <w:rsid w:val="63BC5735"/>
    <w:rsid w:val="640259CE"/>
    <w:rsid w:val="642D57E6"/>
    <w:rsid w:val="64617F46"/>
    <w:rsid w:val="65362C76"/>
    <w:rsid w:val="65F94CB9"/>
    <w:rsid w:val="661A28ED"/>
    <w:rsid w:val="675454F2"/>
    <w:rsid w:val="67B71265"/>
    <w:rsid w:val="67CA0752"/>
    <w:rsid w:val="688A2E32"/>
    <w:rsid w:val="6993314E"/>
    <w:rsid w:val="69F720E4"/>
    <w:rsid w:val="6A442FBD"/>
    <w:rsid w:val="6AE30D66"/>
    <w:rsid w:val="6BFF74D5"/>
    <w:rsid w:val="6C252800"/>
    <w:rsid w:val="6CC84C24"/>
    <w:rsid w:val="6D31535F"/>
    <w:rsid w:val="6D42284E"/>
    <w:rsid w:val="6D524684"/>
    <w:rsid w:val="6D8C1501"/>
    <w:rsid w:val="6E3E660A"/>
    <w:rsid w:val="6E5D1A99"/>
    <w:rsid w:val="6E5F0718"/>
    <w:rsid w:val="6F7B7AD6"/>
    <w:rsid w:val="6F92352B"/>
    <w:rsid w:val="6FC1378E"/>
    <w:rsid w:val="70230478"/>
    <w:rsid w:val="702E5BFE"/>
    <w:rsid w:val="704065EA"/>
    <w:rsid w:val="70832C98"/>
    <w:rsid w:val="709A3939"/>
    <w:rsid w:val="71117BB3"/>
    <w:rsid w:val="712B0162"/>
    <w:rsid w:val="71352AEB"/>
    <w:rsid w:val="713D0D36"/>
    <w:rsid w:val="723A078F"/>
    <w:rsid w:val="72707695"/>
    <w:rsid w:val="738417E2"/>
    <w:rsid w:val="73BB3104"/>
    <w:rsid w:val="74C22D11"/>
    <w:rsid w:val="75104AF8"/>
    <w:rsid w:val="75371AAF"/>
    <w:rsid w:val="75E90F54"/>
    <w:rsid w:val="75EE2704"/>
    <w:rsid w:val="76D014C1"/>
    <w:rsid w:val="76E05FD5"/>
    <w:rsid w:val="76EB228A"/>
    <w:rsid w:val="77631423"/>
    <w:rsid w:val="777504D5"/>
    <w:rsid w:val="77790C26"/>
    <w:rsid w:val="778710F1"/>
    <w:rsid w:val="78060FB9"/>
    <w:rsid w:val="78AC16A3"/>
    <w:rsid w:val="791C36F8"/>
    <w:rsid w:val="79865DC4"/>
    <w:rsid w:val="79AB7861"/>
    <w:rsid w:val="79D44C66"/>
    <w:rsid w:val="79D758B7"/>
    <w:rsid w:val="7B043151"/>
    <w:rsid w:val="7B5223D7"/>
    <w:rsid w:val="7BBD7DA4"/>
    <w:rsid w:val="7BD77EDE"/>
    <w:rsid w:val="7BE226C3"/>
    <w:rsid w:val="7BEC3F2B"/>
    <w:rsid w:val="7BF902DE"/>
    <w:rsid w:val="7C31086D"/>
    <w:rsid w:val="7C394457"/>
    <w:rsid w:val="7C4D48D2"/>
    <w:rsid w:val="7C4E2AAA"/>
    <w:rsid w:val="7CD44B80"/>
    <w:rsid w:val="7CFC1341"/>
    <w:rsid w:val="7D2A758A"/>
    <w:rsid w:val="7D4B685C"/>
    <w:rsid w:val="7DBC1B5A"/>
    <w:rsid w:val="7DF4058D"/>
    <w:rsid w:val="7DF5646B"/>
    <w:rsid w:val="7DFC3DAC"/>
    <w:rsid w:val="7E793D4A"/>
    <w:rsid w:val="7F7944DE"/>
    <w:rsid w:val="7F995ACE"/>
    <w:rsid w:val="7FB90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5">
    <w:name w:val="Normal (Web)"/>
    <w:basedOn w:val="1"/>
    <w:unhideWhenUsed/>
    <w:uiPriority w:val="99"/>
    <w:pPr>
      <w:widowControl/>
      <w:spacing w:before="100" w:beforeAutospacing="1" w:after="100" w:afterAutospacing="1"/>
      <w:jc w:val="left"/>
    </w:pPr>
    <w:rPr>
      <w:rFonts w:ascii="宋体" w:hAnsi="宋体" w:cs="宋体"/>
      <w:kern w:val="0"/>
      <w:sz w:val="24"/>
      <w:szCs w:val="24"/>
    </w:rPr>
  </w:style>
  <w:style w:type="character" w:styleId="8">
    <w:name w:val="page number"/>
    <w:basedOn w:val="7"/>
    <w:uiPriority w:val="0"/>
  </w:style>
  <w:style w:type="character" w:customStyle="1" w:styleId="9">
    <w:name w:val="批注框文本 Char"/>
    <w:link w:val="2"/>
    <w:uiPriority w:val="0"/>
    <w:rPr>
      <w:rFonts w:eastAsia="宋体"/>
      <w:kern w:val="2"/>
      <w:sz w:val="18"/>
      <w:szCs w:val="18"/>
    </w:rPr>
  </w:style>
  <w:style w:type="character" w:customStyle="1" w:styleId="10">
    <w:name w:val="font41"/>
    <w:uiPriority w:val="0"/>
    <w:rPr>
      <w:rFonts w:hint="eastAsia" w:ascii="宋体" w:hAnsi="宋体" w:eastAsia="宋体" w:cs="宋体"/>
      <w:color w:val="000000"/>
      <w:sz w:val="20"/>
      <w:szCs w:val="20"/>
      <w:u w:val="none"/>
    </w:rPr>
  </w:style>
  <w:style w:type="character" w:customStyle="1" w:styleId="11">
    <w:name w:val="页码 New"/>
    <w:basedOn w:val="7"/>
    <w:uiPriority w:val="0"/>
  </w:style>
  <w:style w:type="character" w:customStyle="1" w:styleId="12">
    <w:name w:val="页码 New New New New New New"/>
    <w:basedOn w:val="7"/>
    <w:uiPriority w:val="0"/>
  </w:style>
  <w:style w:type="character" w:customStyle="1" w:styleId="13">
    <w:name w:val="页码 New New New"/>
    <w:basedOn w:val="7"/>
    <w:uiPriority w:val="0"/>
  </w:style>
  <w:style w:type="character" w:customStyle="1" w:styleId="14">
    <w:name w:val="页码 New New New New"/>
    <w:basedOn w:val="7"/>
    <w:uiPriority w:val="0"/>
  </w:style>
  <w:style w:type="character" w:customStyle="1" w:styleId="15">
    <w:name w:val="页码 New New"/>
    <w:basedOn w:val="7"/>
    <w:uiPriority w:val="0"/>
  </w:style>
  <w:style w:type="character" w:customStyle="1" w:styleId="16">
    <w:name w:val="页码 New New New New New"/>
    <w:basedOn w:val="7"/>
    <w:uiPriority w:val="0"/>
  </w:style>
  <w:style w:type="paragraph" w:customStyle="1" w:styleId="17">
    <w:name w:val="正文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18">
    <w:name w:val="正文 New New New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19">
    <w:name w:val="页眉 New New New New New New New New New New New New New New New New New New New New"/>
    <w:basedOn w:val="20"/>
    <w:uiPriority w:val="0"/>
    <w:pPr>
      <w:pBdr>
        <w:bottom w:val="single" w:color="auto" w:sz="6" w:space="1"/>
      </w:pBdr>
      <w:tabs>
        <w:tab w:val="center" w:pos="4153"/>
        <w:tab w:val="right" w:pos="8306"/>
      </w:tabs>
      <w:snapToGrid w:val="0"/>
      <w:jc w:val="center"/>
    </w:pPr>
    <w:rPr>
      <w:sz w:val="18"/>
      <w:szCs w:val="18"/>
    </w:rPr>
  </w:style>
  <w:style w:type="paragraph" w:customStyle="1" w:styleId="20">
    <w:name w:val="正文 New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21">
    <w:name w:val="页眉 New New New New New New New New New New New New New New New New"/>
    <w:basedOn w:val="22"/>
    <w:uiPriority w:val="0"/>
    <w:pPr>
      <w:pBdr>
        <w:bottom w:val="single" w:color="auto" w:sz="6" w:space="1"/>
      </w:pBdr>
      <w:tabs>
        <w:tab w:val="center" w:pos="4153"/>
        <w:tab w:val="right" w:pos="8306"/>
      </w:tabs>
      <w:snapToGrid w:val="0"/>
      <w:jc w:val="center"/>
    </w:pPr>
    <w:rPr>
      <w:sz w:val="18"/>
      <w:szCs w:val="18"/>
    </w:rPr>
  </w:style>
  <w:style w:type="paragraph" w:customStyle="1" w:styleId="22">
    <w:name w:val="正文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23">
    <w:name w:val="页脚 New New New New New New New New New New New New New New New New New New New New New New New New"/>
    <w:basedOn w:val="24"/>
    <w:uiPriority w:val="0"/>
    <w:pPr>
      <w:tabs>
        <w:tab w:val="center" w:pos="4153"/>
        <w:tab w:val="right" w:pos="8306"/>
      </w:tabs>
      <w:snapToGrid w:val="0"/>
      <w:jc w:val="left"/>
    </w:pPr>
    <w:rPr>
      <w:sz w:val="18"/>
      <w:szCs w:val="18"/>
    </w:rPr>
  </w:style>
  <w:style w:type="paragraph" w:customStyle="1" w:styleId="24">
    <w:name w:val="正文 New New New New New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25">
    <w:name w:val="正文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26">
    <w:name w:val="页眉 New New New"/>
    <w:basedOn w:val="27"/>
    <w:uiPriority w:val="0"/>
    <w:pPr>
      <w:pBdr>
        <w:bottom w:val="single" w:color="auto" w:sz="6" w:space="1"/>
      </w:pBdr>
      <w:tabs>
        <w:tab w:val="center" w:pos="4153"/>
        <w:tab w:val="right" w:pos="8306"/>
      </w:tabs>
      <w:snapToGrid w:val="0"/>
      <w:jc w:val="center"/>
    </w:pPr>
    <w:rPr>
      <w:sz w:val="18"/>
      <w:szCs w:val="18"/>
    </w:rPr>
  </w:style>
  <w:style w:type="paragraph" w:customStyle="1" w:styleId="27">
    <w:name w:val="正文 New New New"/>
    <w:uiPriority w:val="0"/>
    <w:pPr>
      <w:widowControl w:val="0"/>
      <w:jc w:val="both"/>
    </w:pPr>
    <w:rPr>
      <w:rFonts w:ascii="Times New Roman" w:hAnsi="Times New Roman" w:eastAsia="仿宋_GB2312" w:cs="Times New Roman"/>
      <w:kern w:val="2"/>
      <w:sz w:val="32"/>
      <w:lang w:val="en-US" w:eastAsia="zh-CN" w:bidi="ar-SA"/>
    </w:rPr>
  </w:style>
  <w:style w:type="paragraph" w:customStyle="1" w:styleId="28">
    <w:name w:val="页脚 New New New New New New New New New New New New New New New New New New New New New New New New New New"/>
    <w:basedOn w:val="29"/>
    <w:uiPriority w:val="0"/>
    <w:pPr>
      <w:tabs>
        <w:tab w:val="center" w:pos="4153"/>
        <w:tab w:val="right" w:pos="8306"/>
      </w:tabs>
      <w:snapToGrid w:val="0"/>
      <w:jc w:val="left"/>
    </w:pPr>
    <w:rPr>
      <w:sz w:val="18"/>
      <w:szCs w:val="18"/>
    </w:rPr>
  </w:style>
  <w:style w:type="paragraph" w:customStyle="1" w:styleId="29">
    <w:name w:val="正文 New New New New New New New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30">
    <w:name w:val="页脚 New New New New New New New New New New New New New New New New New New New New New New"/>
    <w:basedOn w:val="18"/>
    <w:uiPriority w:val="0"/>
    <w:pPr>
      <w:tabs>
        <w:tab w:val="center" w:pos="4153"/>
        <w:tab w:val="right" w:pos="8306"/>
      </w:tabs>
      <w:snapToGrid w:val="0"/>
      <w:jc w:val="left"/>
    </w:pPr>
    <w:rPr>
      <w:sz w:val="18"/>
      <w:szCs w:val="18"/>
    </w:rPr>
  </w:style>
  <w:style w:type="paragraph" w:customStyle="1" w:styleId="31">
    <w:name w:val="页脚 New New New New New New"/>
    <w:basedOn w:val="32"/>
    <w:uiPriority w:val="0"/>
    <w:pPr>
      <w:tabs>
        <w:tab w:val="center" w:pos="4153"/>
        <w:tab w:val="right" w:pos="8306"/>
      </w:tabs>
      <w:snapToGrid w:val="0"/>
      <w:jc w:val="left"/>
    </w:pPr>
    <w:rPr>
      <w:sz w:val="18"/>
      <w:szCs w:val="18"/>
    </w:rPr>
  </w:style>
  <w:style w:type="paragraph" w:customStyle="1" w:styleId="32">
    <w:name w:val="正文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33">
    <w:name w:val="页脚 New New New New"/>
    <w:basedOn w:val="34"/>
    <w:uiPriority w:val="0"/>
    <w:pPr>
      <w:tabs>
        <w:tab w:val="center" w:pos="4153"/>
        <w:tab w:val="right" w:pos="8306"/>
      </w:tabs>
      <w:snapToGrid w:val="0"/>
      <w:jc w:val="left"/>
    </w:pPr>
    <w:rPr>
      <w:sz w:val="18"/>
    </w:rPr>
  </w:style>
  <w:style w:type="paragraph" w:customStyle="1" w:styleId="34">
    <w:name w:val="正文 New New New New"/>
    <w:uiPriority w:val="0"/>
    <w:pPr>
      <w:widowControl w:val="0"/>
      <w:jc w:val="both"/>
    </w:pPr>
    <w:rPr>
      <w:rFonts w:ascii="Times New Roman" w:hAnsi="Times New Roman" w:eastAsia="仿宋_GB2312" w:cs="Times New Roman"/>
      <w:kern w:val="2"/>
      <w:sz w:val="32"/>
      <w:lang w:val="en-US" w:eastAsia="zh-CN" w:bidi="ar-SA"/>
    </w:rPr>
  </w:style>
  <w:style w:type="paragraph" w:customStyle="1" w:styleId="35">
    <w:name w:val="页眉 New New New New New New New New New New New New New New New New New New New New New New New New"/>
    <w:basedOn w:val="24"/>
    <w:uiPriority w:val="0"/>
    <w:pPr>
      <w:pBdr>
        <w:bottom w:val="single" w:color="auto" w:sz="6" w:space="1"/>
      </w:pBdr>
      <w:tabs>
        <w:tab w:val="center" w:pos="4153"/>
        <w:tab w:val="right" w:pos="8306"/>
      </w:tabs>
      <w:snapToGrid w:val="0"/>
      <w:jc w:val="center"/>
    </w:pPr>
    <w:rPr>
      <w:sz w:val="18"/>
      <w:szCs w:val="18"/>
    </w:rPr>
  </w:style>
  <w:style w:type="paragraph" w:customStyle="1" w:styleId="36">
    <w:name w:val="页脚 New New New New New New New New New New New New"/>
    <w:basedOn w:val="37"/>
    <w:uiPriority w:val="0"/>
    <w:pPr>
      <w:tabs>
        <w:tab w:val="center" w:pos="4153"/>
        <w:tab w:val="right" w:pos="8306"/>
      </w:tabs>
      <w:snapToGrid w:val="0"/>
      <w:jc w:val="left"/>
    </w:pPr>
    <w:rPr>
      <w:sz w:val="18"/>
      <w:szCs w:val="18"/>
    </w:rPr>
  </w:style>
  <w:style w:type="paragraph" w:customStyle="1" w:styleId="37">
    <w:name w:val="正文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38">
    <w:name w:val="页眉 New New New New New New New New New New New New New New New New New New"/>
    <w:basedOn w:val="39"/>
    <w:uiPriority w:val="0"/>
    <w:pPr>
      <w:pBdr>
        <w:bottom w:val="single" w:color="auto" w:sz="6" w:space="1"/>
      </w:pBdr>
      <w:tabs>
        <w:tab w:val="center" w:pos="4153"/>
        <w:tab w:val="right" w:pos="8306"/>
      </w:tabs>
      <w:snapToGrid w:val="0"/>
      <w:jc w:val="center"/>
    </w:pPr>
    <w:rPr>
      <w:sz w:val="18"/>
      <w:szCs w:val="18"/>
    </w:rPr>
  </w:style>
  <w:style w:type="paragraph" w:customStyle="1" w:styleId="39">
    <w:name w:val="正文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40">
    <w:name w:val="正文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41">
    <w:name w:val="页脚 New New New New New"/>
    <w:basedOn w:val="42"/>
    <w:uiPriority w:val="0"/>
    <w:pPr>
      <w:tabs>
        <w:tab w:val="center" w:pos="4153"/>
        <w:tab w:val="right" w:pos="8306"/>
      </w:tabs>
      <w:snapToGrid w:val="0"/>
      <w:jc w:val="left"/>
    </w:pPr>
    <w:rPr>
      <w:sz w:val="18"/>
      <w:szCs w:val="18"/>
    </w:rPr>
  </w:style>
  <w:style w:type="paragraph" w:customStyle="1" w:styleId="42">
    <w:name w:val="正文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43">
    <w:name w:val="页眉 New New New New New New New New"/>
    <w:basedOn w:val="25"/>
    <w:uiPriority w:val="0"/>
    <w:pPr>
      <w:pBdr>
        <w:bottom w:val="single" w:color="auto" w:sz="6" w:space="1"/>
      </w:pBdr>
      <w:tabs>
        <w:tab w:val="center" w:pos="4153"/>
        <w:tab w:val="right" w:pos="8306"/>
      </w:tabs>
      <w:snapToGrid w:val="0"/>
      <w:jc w:val="center"/>
    </w:pPr>
    <w:rPr>
      <w:sz w:val="18"/>
      <w:szCs w:val="18"/>
    </w:rPr>
  </w:style>
  <w:style w:type="paragraph" w:customStyle="1" w:styleId="44">
    <w:name w:val="Char"/>
    <w:basedOn w:val="1"/>
    <w:uiPriority w:val="0"/>
    <w:pPr>
      <w:widowControl/>
      <w:spacing w:after="160" w:line="240" w:lineRule="exact"/>
      <w:jc w:val="left"/>
    </w:pPr>
  </w:style>
  <w:style w:type="paragraph" w:customStyle="1" w:styleId="45">
    <w:name w:val="页眉 New New New New New New New New New New New New New New New"/>
    <w:basedOn w:val="17"/>
    <w:uiPriority w:val="0"/>
    <w:pPr>
      <w:pBdr>
        <w:bottom w:val="single" w:color="auto" w:sz="6" w:space="1"/>
      </w:pBdr>
      <w:tabs>
        <w:tab w:val="center" w:pos="4153"/>
        <w:tab w:val="right" w:pos="8306"/>
      </w:tabs>
      <w:snapToGrid w:val="0"/>
      <w:jc w:val="center"/>
    </w:pPr>
    <w:rPr>
      <w:sz w:val="18"/>
      <w:szCs w:val="18"/>
    </w:rPr>
  </w:style>
  <w:style w:type="paragraph" w:customStyle="1" w:styleId="46">
    <w:name w:val="页眉 New New New New New New New New New New New New New"/>
    <w:basedOn w:val="47"/>
    <w:uiPriority w:val="0"/>
    <w:pPr>
      <w:pBdr>
        <w:bottom w:val="single" w:color="auto" w:sz="6" w:space="1"/>
      </w:pBdr>
      <w:tabs>
        <w:tab w:val="center" w:pos="4153"/>
        <w:tab w:val="right" w:pos="8306"/>
      </w:tabs>
      <w:snapToGrid w:val="0"/>
      <w:jc w:val="center"/>
    </w:pPr>
    <w:rPr>
      <w:sz w:val="18"/>
      <w:szCs w:val="18"/>
    </w:rPr>
  </w:style>
  <w:style w:type="paragraph" w:customStyle="1" w:styleId="47">
    <w:name w:val="正文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48">
    <w:name w:val="页脚 New New New New New New New New New New"/>
    <w:basedOn w:val="49"/>
    <w:uiPriority w:val="0"/>
    <w:pPr>
      <w:tabs>
        <w:tab w:val="center" w:pos="4153"/>
        <w:tab w:val="right" w:pos="8306"/>
      </w:tabs>
      <w:snapToGrid w:val="0"/>
      <w:jc w:val="left"/>
    </w:pPr>
    <w:rPr>
      <w:sz w:val="18"/>
      <w:szCs w:val="18"/>
    </w:rPr>
  </w:style>
  <w:style w:type="paragraph" w:customStyle="1" w:styleId="49">
    <w:name w:val="正文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50">
    <w:name w:val="正文 New New"/>
    <w:uiPriority w:val="0"/>
    <w:pPr>
      <w:widowControl w:val="0"/>
      <w:jc w:val="both"/>
    </w:pPr>
    <w:rPr>
      <w:rFonts w:ascii="Times New Roman" w:hAnsi="Times New Roman" w:eastAsia="仿宋_GB2312" w:cs="Times New Roman"/>
      <w:kern w:val="2"/>
      <w:sz w:val="32"/>
      <w:lang w:val="en-US" w:eastAsia="zh-CN" w:bidi="ar-SA"/>
    </w:rPr>
  </w:style>
  <w:style w:type="paragraph" w:customStyle="1" w:styleId="51">
    <w:name w:val="页脚 New New New New New New New New New New New New New New New New New New New New New"/>
    <w:basedOn w:val="52"/>
    <w:uiPriority w:val="0"/>
    <w:pPr>
      <w:tabs>
        <w:tab w:val="center" w:pos="4153"/>
        <w:tab w:val="right" w:pos="8306"/>
      </w:tabs>
      <w:snapToGrid w:val="0"/>
      <w:jc w:val="left"/>
    </w:pPr>
    <w:rPr>
      <w:sz w:val="18"/>
      <w:szCs w:val="18"/>
    </w:rPr>
  </w:style>
  <w:style w:type="paragraph" w:customStyle="1" w:styleId="52">
    <w:name w:val="正文 New New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53">
    <w:name w:val="页脚 New New New New New New New New New"/>
    <w:basedOn w:val="54"/>
    <w:uiPriority w:val="0"/>
    <w:pPr>
      <w:tabs>
        <w:tab w:val="center" w:pos="4153"/>
        <w:tab w:val="right" w:pos="8306"/>
      </w:tabs>
      <w:snapToGrid w:val="0"/>
      <w:jc w:val="left"/>
    </w:pPr>
    <w:rPr>
      <w:sz w:val="18"/>
      <w:szCs w:val="18"/>
    </w:rPr>
  </w:style>
  <w:style w:type="paragraph" w:customStyle="1" w:styleId="54">
    <w:name w:val="正文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55">
    <w:name w:val="页脚 New New New New New New New New New New New New New New New New"/>
    <w:basedOn w:val="22"/>
    <w:uiPriority w:val="0"/>
    <w:pPr>
      <w:tabs>
        <w:tab w:val="center" w:pos="4153"/>
        <w:tab w:val="right" w:pos="8306"/>
      </w:tabs>
      <w:snapToGrid w:val="0"/>
      <w:jc w:val="left"/>
    </w:pPr>
    <w:rPr>
      <w:sz w:val="18"/>
      <w:szCs w:val="18"/>
    </w:rPr>
  </w:style>
  <w:style w:type="paragraph" w:customStyle="1" w:styleId="56">
    <w:name w:val="正文 New"/>
    <w:uiPriority w:val="0"/>
    <w:pPr>
      <w:widowControl w:val="0"/>
      <w:jc w:val="both"/>
    </w:pPr>
    <w:rPr>
      <w:rFonts w:ascii="Times New Roman" w:hAnsi="Times New Roman" w:eastAsia="仿宋_GB2312" w:cs="Times New Roman"/>
      <w:kern w:val="2"/>
      <w:sz w:val="32"/>
      <w:lang w:val="en-US" w:eastAsia="zh-CN" w:bidi="ar-SA"/>
    </w:rPr>
  </w:style>
  <w:style w:type="paragraph" w:customStyle="1" w:styleId="57">
    <w:name w:val="页眉 New New New New New New New New New New"/>
    <w:basedOn w:val="49"/>
    <w:uiPriority w:val="0"/>
    <w:pPr>
      <w:pBdr>
        <w:bottom w:val="single" w:color="auto" w:sz="6" w:space="1"/>
      </w:pBdr>
      <w:tabs>
        <w:tab w:val="center" w:pos="4153"/>
        <w:tab w:val="right" w:pos="8306"/>
      </w:tabs>
      <w:snapToGrid w:val="0"/>
      <w:jc w:val="center"/>
    </w:pPr>
    <w:rPr>
      <w:sz w:val="18"/>
      <w:szCs w:val="18"/>
    </w:rPr>
  </w:style>
  <w:style w:type="paragraph" w:customStyle="1" w:styleId="58">
    <w:name w:val="页脚 New New New New New New New New New New New New New New New New New New New New New New New"/>
    <w:basedOn w:val="59"/>
    <w:uiPriority w:val="0"/>
    <w:pPr>
      <w:tabs>
        <w:tab w:val="center" w:pos="4153"/>
        <w:tab w:val="right" w:pos="8306"/>
      </w:tabs>
      <w:snapToGrid w:val="0"/>
      <w:jc w:val="left"/>
    </w:pPr>
    <w:rPr>
      <w:sz w:val="18"/>
      <w:szCs w:val="18"/>
    </w:rPr>
  </w:style>
  <w:style w:type="paragraph" w:customStyle="1" w:styleId="59">
    <w:name w:val="正文 New New New New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60">
    <w:name w:val="页眉 New"/>
    <w:basedOn w:val="56"/>
    <w:uiPriority w:val="0"/>
    <w:pPr>
      <w:pBdr>
        <w:bottom w:val="single" w:color="auto" w:sz="6" w:space="1"/>
      </w:pBdr>
      <w:tabs>
        <w:tab w:val="center" w:pos="4153"/>
        <w:tab w:val="right" w:pos="8306"/>
      </w:tabs>
      <w:snapToGrid w:val="0"/>
      <w:jc w:val="center"/>
    </w:pPr>
    <w:rPr>
      <w:sz w:val="18"/>
      <w:szCs w:val="18"/>
    </w:rPr>
  </w:style>
  <w:style w:type="paragraph" w:customStyle="1" w:styleId="61">
    <w:name w:val="页脚 New New New New New New New New New New New New New New New New New New"/>
    <w:basedOn w:val="39"/>
    <w:uiPriority w:val="0"/>
    <w:pPr>
      <w:tabs>
        <w:tab w:val="center" w:pos="4153"/>
        <w:tab w:val="right" w:pos="8306"/>
      </w:tabs>
      <w:snapToGrid w:val="0"/>
      <w:jc w:val="left"/>
    </w:pPr>
    <w:rPr>
      <w:sz w:val="18"/>
      <w:szCs w:val="18"/>
    </w:rPr>
  </w:style>
  <w:style w:type="paragraph" w:customStyle="1" w:styleId="62">
    <w:name w:val="p0"/>
    <w:basedOn w:val="34"/>
    <w:uiPriority w:val="0"/>
    <w:pPr>
      <w:widowControl/>
    </w:pPr>
    <w:rPr>
      <w:rFonts w:eastAsia="宋体"/>
      <w:kern w:val="0"/>
      <w:szCs w:val="32"/>
    </w:rPr>
  </w:style>
  <w:style w:type="paragraph" w:customStyle="1" w:styleId="63">
    <w:name w:val="页眉 New New New New New New New New New New New New New New New New New New New New New New New"/>
    <w:basedOn w:val="59"/>
    <w:uiPriority w:val="0"/>
    <w:pPr>
      <w:pBdr>
        <w:bottom w:val="single" w:color="auto" w:sz="6" w:space="1"/>
      </w:pBdr>
      <w:tabs>
        <w:tab w:val="center" w:pos="4153"/>
        <w:tab w:val="right" w:pos="8306"/>
      </w:tabs>
      <w:snapToGrid w:val="0"/>
      <w:jc w:val="center"/>
    </w:pPr>
    <w:rPr>
      <w:sz w:val="18"/>
      <w:szCs w:val="18"/>
    </w:rPr>
  </w:style>
  <w:style w:type="paragraph" w:customStyle="1" w:styleId="64">
    <w:name w:val="页眉 New New New New New New New New New New New New New New New New New New New New New New New New New New"/>
    <w:basedOn w:val="29"/>
    <w:uiPriority w:val="0"/>
    <w:pPr>
      <w:pBdr>
        <w:bottom w:val="single" w:color="auto" w:sz="6" w:space="1"/>
      </w:pBdr>
      <w:tabs>
        <w:tab w:val="center" w:pos="4153"/>
        <w:tab w:val="right" w:pos="8306"/>
      </w:tabs>
      <w:snapToGrid w:val="0"/>
      <w:jc w:val="center"/>
    </w:pPr>
    <w:rPr>
      <w:sz w:val="18"/>
      <w:szCs w:val="18"/>
    </w:rPr>
  </w:style>
  <w:style w:type="paragraph" w:customStyle="1" w:styleId="65">
    <w:name w:val="页眉 New New New New New New New New New New New New"/>
    <w:basedOn w:val="37"/>
    <w:uiPriority w:val="0"/>
    <w:pPr>
      <w:pBdr>
        <w:bottom w:val="single" w:color="auto" w:sz="6" w:space="1"/>
      </w:pBdr>
      <w:tabs>
        <w:tab w:val="center" w:pos="4153"/>
        <w:tab w:val="right" w:pos="8306"/>
      </w:tabs>
      <w:snapToGrid w:val="0"/>
      <w:jc w:val="center"/>
    </w:pPr>
    <w:rPr>
      <w:sz w:val="18"/>
      <w:szCs w:val="18"/>
    </w:rPr>
  </w:style>
  <w:style w:type="paragraph" w:customStyle="1" w:styleId="66">
    <w:name w:val="页眉 New New New New New"/>
    <w:basedOn w:val="42"/>
    <w:uiPriority w:val="0"/>
    <w:pPr>
      <w:pBdr>
        <w:bottom w:val="single" w:color="auto" w:sz="6" w:space="1"/>
      </w:pBdr>
      <w:tabs>
        <w:tab w:val="center" w:pos="4153"/>
        <w:tab w:val="right" w:pos="8306"/>
      </w:tabs>
      <w:snapToGrid w:val="0"/>
      <w:jc w:val="center"/>
    </w:pPr>
    <w:rPr>
      <w:sz w:val="18"/>
      <w:szCs w:val="18"/>
    </w:rPr>
  </w:style>
  <w:style w:type="paragraph" w:customStyle="1" w:styleId="67">
    <w:name w:val="页眉 New New New New New New New"/>
    <w:basedOn w:val="68"/>
    <w:uiPriority w:val="0"/>
    <w:pPr>
      <w:pBdr>
        <w:bottom w:val="single" w:color="auto" w:sz="6" w:space="1"/>
      </w:pBdr>
      <w:tabs>
        <w:tab w:val="center" w:pos="4153"/>
        <w:tab w:val="right" w:pos="8306"/>
      </w:tabs>
      <w:snapToGrid w:val="0"/>
      <w:jc w:val="center"/>
    </w:pPr>
    <w:rPr>
      <w:sz w:val="18"/>
      <w:szCs w:val="18"/>
    </w:rPr>
  </w:style>
  <w:style w:type="paragraph" w:customStyle="1" w:styleId="68">
    <w:name w:val="正文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69">
    <w:name w:val="页眉 New New New New"/>
    <w:basedOn w:val="34"/>
    <w:uiPriority w:val="0"/>
    <w:pPr>
      <w:pBdr>
        <w:bottom w:val="single" w:color="auto" w:sz="6" w:space="1"/>
      </w:pBdr>
      <w:tabs>
        <w:tab w:val="center" w:pos="4153"/>
        <w:tab w:val="right" w:pos="8306"/>
      </w:tabs>
      <w:snapToGrid w:val="0"/>
      <w:jc w:val="center"/>
    </w:pPr>
    <w:rPr>
      <w:sz w:val="18"/>
      <w:szCs w:val="18"/>
    </w:rPr>
  </w:style>
  <w:style w:type="paragraph" w:customStyle="1" w:styleId="70">
    <w:name w:val="页脚 New New New New New New New New New New New New New New New New New"/>
    <w:basedOn w:val="71"/>
    <w:uiPriority w:val="0"/>
    <w:pPr>
      <w:tabs>
        <w:tab w:val="center" w:pos="4153"/>
        <w:tab w:val="right" w:pos="8306"/>
      </w:tabs>
      <w:snapToGrid w:val="0"/>
      <w:jc w:val="left"/>
    </w:pPr>
    <w:rPr>
      <w:sz w:val="18"/>
      <w:szCs w:val="18"/>
    </w:rPr>
  </w:style>
  <w:style w:type="paragraph" w:customStyle="1" w:styleId="71">
    <w:name w:val="正文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72">
    <w:name w:val="页脚 New New New New New New New New New New New New New New"/>
    <w:basedOn w:val="73"/>
    <w:uiPriority w:val="0"/>
    <w:pPr>
      <w:tabs>
        <w:tab w:val="center" w:pos="4153"/>
        <w:tab w:val="right" w:pos="8306"/>
      </w:tabs>
      <w:snapToGrid w:val="0"/>
      <w:jc w:val="left"/>
    </w:pPr>
    <w:rPr>
      <w:sz w:val="18"/>
    </w:rPr>
  </w:style>
  <w:style w:type="paragraph" w:customStyle="1" w:styleId="73">
    <w:name w:val="正文 New New New New New New New New New New New New New New"/>
    <w:uiPriority w:val="0"/>
    <w:pPr>
      <w:widowControl w:val="0"/>
      <w:jc w:val="both"/>
    </w:pPr>
    <w:rPr>
      <w:rFonts w:ascii="Times New Roman" w:hAnsi="Times New Roman" w:eastAsia="仿宋_GB2312" w:cs="Times New Roman"/>
      <w:kern w:val="2"/>
      <w:sz w:val="32"/>
      <w:lang w:val="en-US" w:eastAsia="zh-CN" w:bidi="ar-SA"/>
    </w:rPr>
  </w:style>
  <w:style w:type="paragraph" w:customStyle="1" w:styleId="74">
    <w:name w:val="页脚 New New New New New New New New"/>
    <w:basedOn w:val="25"/>
    <w:uiPriority w:val="0"/>
    <w:pPr>
      <w:tabs>
        <w:tab w:val="center" w:pos="4153"/>
        <w:tab w:val="right" w:pos="8306"/>
      </w:tabs>
      <w:snapToGrid w:val="0"/>
      <w:jc w:val="left"/>
    </w:pPr>
    <w:rPr>
      <w:sz w:val="18"/>
      <w:szCs w:val="18"/>
    </w:rPr>
  </w:style>
  <w:style w:type="paragraph" w:customStyle="1" w:styleId="75">
    <w:name w:val="正文 New New New New New New New New New New New New New New New New New New New"/>
    <w:uiPriority w:val="0"/>
    <w:pPr>
      <w:widowControl w:val="0"/>
      <w:spacing w:line="600" w:lineRule="exact"/>
      <w:ind w:firstLine="200" w:firstLineChars="200"/>
      <w:jc w:val="both"/>
    </w:pPr>
    <w:rPr>
      <w:rFonts w:ascii="Times New Roman" w:hAnsi="Times New Roman" w:eastAsia="仿宋_GB2312" w:cs="Times New Roman"/>
      <w:kern w:val="2"/>
      <w:sz w:val="32"/>
      <w:szCs w:val="22"/>
      <w:lang w:val="en-US" w:eastAsia="zh-CN" w:bidi="ar-SA"/>
    </w:rPr>
  </w:style>
  <w:style w:type="paragraph" w:customStyle="1" w:styleId="76">
    <w:name w:val="页眉 New New New New New New New New New New New New New New New New New New New New New"/>
    <w:basedOn w:val="52"/>
    <w:uiPriority w:val="0"/>
    <w:pPr>
      <w:pBdr>
        <w:bottom w:val="single" w:color="auto" w:sz="6" w:space="1"/>
      </w:pBdr>
      <w:tabs>
        <w:tab w:val="center" w:pos="4153"/>
        <w:tab w:val="right" w:pos="8306"/>
      </w:tabs>
      <w:snapToGrid w:val="0"/>
      <w:jc w:val="center"/>
    </w:pPr>
    <w:rPr>
      <w:sz w:val="18"/>
      <w:szCs w:val="18"/>
    </w:rPr>
  </w:style>
  <w:style w:type="paragraph" w:customStyle="1" w:styleId="77">
    <w:name w:val="页脚 New New New New New New New New New New New"/>
    <w:basedOn w:val="40"/>
    <w:uiPriority w:val="0"/>
    <w:pPr>
      <w:tabs>
        <w:tab w:val="center" w:pos="4153"/>
        <w:tab w:val="right" w:pos="8306"/>
      </w:tabs>
      <w:snapToGrid w:val="0"/>
      <w:jc w:val="left"/>
    </w:pPr>
    <w:rPr>
      <w:sz w:val="18"/>
      <w:szCs w:val="18"/>
    </w:rPr>
  </w:style>
  <w:style w:type="paragraph" w:customStyle="1" w:styleId="78">
    <w:name w:val="页脚 New New New New New New New New New New New New New New New New New New New New"/>
    <w:basedOn w:val="20"/>
    <w:uiPriority w:val="0"/>
    <w:pPr>
      <w:tabs>
        <w:tab w:val="center" w:pos="4153"/>
        <w:tab w:val="right" w:pos="8306"/>
      </w:tabs>
      <w:snapToGrid w:val="0"/>
      <w:jc w:val="left"/>
    </w:pPr>
    <w:rPr>
      <w:sz w:val="18"/>
      <w:szCs w:val="18"/>
    </w:rPr>
  </w:style>
  <w:style w:type="paragraph" w:customStyle="1" w:styleId="79">
    <w:name w:val="页眉 New New New New New New New New New"/>
    <w:basedOn w:val="54"/>
    <w:uiPriority w:val="0"/>
    <w:pPr>
      <w:pBdr>
        <w:bottom w:val="single" w:color="auto" w:sz="6" w:space="1"/>
      </w:pBdr>
      <w:tabs>
        <w:tab w:val="center" w:pos="4153"/>
        <w:tab w:val="right" w:pos="8306"/>
      </w:tabs>
      <w:snapToGrid w:val="0"/>
      <w:jc w:val="center"/>
    </w:pPr>
    <w:rPr>
      <w:sz w:val="18"/>
      <w:szCs w:val="18"/>
    </w:rPr>
  </w:style>
  <w:style w:type="paragraph" w:customStyle="1" w:styleId="80">
    <w:name w:val="页眉 New New"/>
    <w:basedOn w:val="50"/>
    <w:uiPriority w:val="0"/>
    <w:pPr>
      <w:pBdr>
        <w:bottom w:val="single" w:color="auto" w:sz="6" w:space="1"/>
      </w:pBdr>
      <w:tabs>
        <w:tab w:val="center" w:pos="4153"/>
        <w:tab w:val="right" w:pos="8306"/>
      </w:tabs>
      <w:snapToGrid w:val="0"/>
      <w:jc w:val="center"/>
    </w:pPr>
    <w:rPr>
      <w:sz w:val="18"/>
      <w:szCs w:val="18"/>
    </w:rPr>
  </w:style>
  <w:style w:type="paragraph" w:customStyle="1" w:styleId="81">
    <w:name w:val="页眉 New New New New New New New New New New New New New New New New New New New New New New New New New"/>
    <w:basedOn w:val="82"/>
    <w:uiPriority w:val="0"/>
    <w:pPr>
      <w:pBdr>
        <w:bottom w:val="single" w:color="auto" w:sz="6" w:space="1"/>
      </w:pBdr>
      <w:tabs>
        <w:tab w:val="center" w:pos="4153"/>
        <w:tab w:val="right" w:pos="8306"/>
      </w:tabs>
      <w:snapToGrid w:val="0"/>
      <w:jc w:val="center"/>
    </w:pPr>
    <w:rPr>
      <w:sz w:val="18"/>
      <w:szCs w:val="18"/>
    </w:rPr>
  </w:style>
  <w:style w:type="paragraph" w:customStyle="1" w:styleId="82">
    <w:name w:val="正文 New New New New New New New New New New New New New New New New New New New New New New New New New"/>
    <w:uiPriority w:val="0"/>
    <w:pPr>
      <w:widowControl w:val="0"/>
      <w:jc w:val="both"/>
    </w:pPr>
    <w:rPr>
      <w:rFonts w:ascii="Times New Roman" w:hAnsi="Times New Roman" w:eastAsia="仿宋_GB2312" w:cs="Times New Roman"/>
      <w:kern w:val="2"/>
      <w:sz w:val="32"/>
      <w:lang w:val="en-US" w:eastAsia="zh-CN" w:bidi="ar-SA"/>
    </w:rPr>
  </w:style>
  <w:style w:type="paragraph" w:customStyle="1" w:styleId="83">
    <w:name w:val="页脚 New New New"/>
    <w:basedOn w:val="27"/>
    <w:uiPriority w:val="0"/>
    <w:pPr>
      <w:tabs>
        <w:tab w:val="center" w:pos="4153"/>
        <w:tab w:val="right" w:pos="8306"/>
      </w:tabs>
      <w:snapToGrid w:val="0"/>
      <w:jc w:val="left"/>
    </w:pPr>
    <w:rPr>
      <w:sz w:val="18"/>
    </w:rPr>
  </w:style>
  <w:style w:type="paragraph" w:customStyle="1" w:styleId="84">
    <w:name w:val="页脚 New New New New New New New New New New New New New New New New New New New"/>
    <w:basedOn w:val="75"/>
    <w:uiPriority w:val="0"/>
    <w:pPr>
      <w:tabs>
        <w:tab w:val="center" w:pos="4153"/>
        <w:tab w:val="right" w:pos="8306"/>
      </w:tabs>
      <w:snapToGrid w:val="0"/>
      <w:jc w:val="left"/>
    </w:pPr>
    <w:rPr>
      <w:sz w:val="18"/>
      <w:szCs w:val="18"/>
    </w:rPr>
  </w:style>
  <w:style w:type="paragraph" w:customStyle="1" w:styleId="85">
    <w:name w:val="页眉 New New New New New New New New New New New New New New New New New New New New New New"/>
    <w:basedOn w:val="18"/>
    <w:uiPriority w:val="0"/>
    <w:pPr>
      <w:pBdr>
        <w:bottom w:val="single" w:color="auto" w:sz="6" w:space="1"/>
      </w:pBdr>
      <w:tabs>
        <w:tab w:val="center" w:pos="4153"/>
        <w:tab w:val="right" w:pos="8306"/>
      </w:tabs>
      <w:snapToGrid w:val="0"/>
      <w:jc w:val="center"/>
    </w:pPr>
    <w:rPr>
      <w:sz w:val="18"/>
      <w:szCs w:val="18"/>
    </w:rPr>
  </w:style>
  <w:style w:type="paragraph" w:customStyle="1" w:styleId="86">
    <w:name w:val="页脚 New New New New New New New New New New New New New New New New New New New New New New New New New"/>
    <w:basedOn w:val="82"/>
    <w:uiPriority w:val="0"/>
    <w:pPr>
      <w:tabs>
        <w:tab w:val="center" w:pos="4153"/>
        <w:tab w:val="right" w:pos="8306"/>
      </w:tabs>
      <w:snapToGrid w:val="0"/>
      <w:jc w:val="left"/>
    </w:pPr>
    <w:rPr>
      <w:sz w:val="18"/>
    </w:rPr>
  </w:style>
  <w:style w:type="paragraph" w:customStyle="1" w:styleId="87">
    <w:name w:val="页眉 New New New New New New New New New New New"/>
    <w:basedOn w:val="40"/>
    <w:uiPriority w:val="0"/>
    <w:pPr>
      <w:pBdr>
        <w:bottom w:val="single" w:color="auto" w:sz="6" w:space="1"/>
      </w:pBdr>
      <w:tabs>
        <w:tab w:val="center" w:pos="4153"/>
        <w:tab w:val="right" w:pos="8306"/>
      </w:tabs>
      <w:snapToGrid w:val="0"/>
      <w:jc w:val="center"/>
    </w:pPr>
    <w:rPr>
      <w:sz w:val="18"/>
      <w:szCs w:val="18"/>
    </w:rPr>
  </w:style>
  <w:style w:type="paragraph" w:customStyle="1" w:styleId="88">
    <w:name w:val="页眉 New New New New New New New New New New New New New New"/>
    <w:basedOn w:val="73"/>
    <w:uiPriority w:val="0"/>
    <w:pPr>
      <w:pBdr>
        <w:bottom w:val="single" w:color="auto" w:sz="6" w:space="1"/>
      </w:pBdr>
      <w:tabs>
        <w:tab w:val="center" w:pos="4153"/>
        <w:tab w:val="right" w:pos="8306"/>
      </w:tabs>
      <w:snapToGrid w:val="0"/>
      <w:jc w:val="center"/>
    </w:pPr>
    <w:rPr>
      <w:sz w:val="18"/>
      <w:szCs w:val="18"/>
    </w:rPr>
  </w:style>
  <w:style w:type="paragraph" w:customStyle="1" w:styleId="89">
    <w:name w:val="页眉 New New New New New New New New New New New New New New New New New New New"/>
    <w:basedOn w:val="75"/>
    <w:uiPriority w:val="0"/>
    <w:pPr>
      <w:pBdr>
        <w:bottom w:val="single" w:color="auto" w:sz="6" w:space="1"/>
      </w:pBdr>
      <w:tabs>
        <w:tab w:val="center" w:pos="4153"/>
        <w:tab w:val="right" w:pos="8306"/>
      </w:tabs>
      <w:snapToGrid w:val="0"/>
      <w:jc w:val="center"/>
    </w:pPr>
    <w:rPr>
      <w:sz w:val="18"/>
      <w:szCs w:val="18"/>
    </w:rPr>
  </w:style>
  <w:style w:type="paragraph" w:customStyle="1" w:styleId="90">
    <w:name w:val="页眉 New New New New New New New New New New New New New New New New New"/>
    <w:basedOn w:val="71"/>
    <w:uiPriority w:val="0"/>
    <w:pPr>
      <w:pBdr>
        <w:bottom w:val="single" w:color="auto" w:sz="6" w:space="1"/>
      </w:pBdr>
      <w:tabs>
        <w:tab w:val="center" w:pos="4153"/>
        <w:tab w:val="right" w:pos="8306"/>
      </w:tabs>
      <w:snapToGrid w:val="0"/>
      <w:jc w:val="center"/>
    </w:pPr>
    <w:rPr>
      <w:sz w:val="18"/>
      <w:szCs w:val="18"/>
    </w:rPr>
  </w:style>
  <w:style w:type="paragraph" w:customStyle="1" w:styleId="91">
    <w:name w:val="页脚 New New New New New New New New New New New New New New New"/>
    <w:basedOn w:val="17"/>
    <w:uiPriority w:val="0"/>
    <w:pPr>
      <w:tabs>
        <w:tab w:val="center" w:pos="4153"/>
        <w:tab w:val="right" w:pos="8306"/>
      </w:tabs>
      <w:snapToGrid w:val="0"/>
      <w:jc w:val="left"/>
    </w:pPr>
    <w:rPr>
      <w:sz w:val="18"/>
      <w:szCs w:val="18"/>
    </w:rPr>
  </w:style>
  <w:style w:type="paragraph" w:customStyle="1" w:styleId="92">
    <w:name w:val="页眉 New New New New New New"/>
    <w:basedOn w:val="32"/>
    <w:uiPriority w:val="0"/>
    <w:pPr>
      <w:pBdr>
        <w:bottom w:val="single" w:color="auto" w:sz="6" w:space="1"/>
      </w:pBdr>
      <w:tabs>
        <w:tab w:val="center" w:pos="4153"/>
        <w:tab w:val="right" w:pos="8306"/>
      </w:tabs>
      <w:snapToGrid w:val="0"/>
      <w:jc w:val="center"/>
    </w:pPr>
    <w:rPr>
      <w:sz w:val="18"/>
      <w:szCs w:val="18"/>
    </w:rPr>
  </w:style>
  <w:style w:type="paragraph" w:customStyle="1" w:styleId="93">
    <w:name w:val="页脚 New New"/>
    <w:basedOn w:val="50"/>
    <w:uiPriority w:val="0"/>
    <w:pPr>
      <w:tabs>
        <w:tab w:val="center" w:pos="4153"/>
        <w:tab w:val="right" w:pos="8306"/>
      </w:tabs>
      <w:snapToGrid w:val="0"/>
      <w:jc w:val="left"/>
    </w:pPr>
    <w:rPr>
      <w:sz w:val="18"/>
    </w:rPr>
  </w:style>
  <w:style w:type="paragraph" w:customStyle="1" w:styleId="94">
    <w:name w:val="页脚 New"/>
    <w:basedOn w:val="56"/>
    <w:uiPriority w:val="0"/>
    <w:pPr>
      <w:tabs>
        <w:tab w:val="center" w:pos="4153"/>
        <w:tab w:val="right" w:pos="8306"/>
      </w:tabs>
      <w:snapToGrid w:val="0"/>
      <w:jc w:val="left"/>
    </w:pPr>
    <w:rPr>
      <w:sz w:val="18"/>
    </w:rPr>
  </w:style>
  <w:style w:type="paragraph" w:customStyle="1" w:styleId="95">
    <w:name w:val="页脚 New New New New New New New"/>
    <w:basedOn w:val="68"/>
    <w:uiPriority w:val="0"/>
    <w:pPr>
      <w:tabs>
        <w:tab w:val="center" w:pos="4153"/>
        <w:tab w:val="right" w:pos="8306"/>
      </w:tabs>
      <w:snapToGrid w:val="0"/>
      <w:jc w:val="left"/>
    </w:pPr>
    <w:rPr>
      <w:sz w:val="18"/>
      <w:szCs w:val="18"/>
    </w:rPr>
  </w:style>
  <w:style w:type="paragraph" w:customStyle="1" w:styleId="96">
    <w:name w:val="页脚 New New New New New New New New New New New New New"/>
    <w:basedOn w:val="47"/>
    <w:uiPriority w:val="0"/>
    <w:pPr>
      <w:tabs>
        <w:tab w:val="center" w:pos="4153"/>
        <w:tab w:val="right" w:pos="8306"/>
      </w:tabs>
      <w:snapToGrid w:val="0"/>
      <w:jc w:val="left"/>
    </w:pPr>
    <w:rPr>
      <w:sz w:val="18"/>
      <w:szCs w:val="18"/>
    </w:rPr>
  </w:style>
  <w:style w:type="paragraph" w:styleId="97">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752CCD76-4FF4-415F-A588-9C5E6FAAF35B}">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20</Pages>
  <Words>5886</Words>
  <Characters>6297</Characters>
  <Lines>47</Lines>
  <Paragraphs>13</Paragraphs>
  <TotalTime>65</TotalTime>
  <ScaleCrop>false</ScaleCrop>
  <LinksUpToDate>false</LinksUpToDate>
  <CharactersWithSpaces>6511</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2022-10-31T02:27:00Z</dcterms:created>
  <dc:creator>王志强</dc:creator>
  <cp:lastModifiedBy>Administrator</cp:lastModifiedBy>
  <cp:lastPrinted>2022-07-29T02:56:00Z</cp:lastPrinted>
  <dcterms:modified xsi:type="dcterms:W3CDTF">2022-11-02T02:17:51Z</dcterms:modified>
  <dc:title>2015年度部门决算公开模板</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0AC9FFA45F4A481E82E7F03354FEC602</vt:lpwstr>
  </property>
</Properties>
</file>