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E19E9">
      <w:pPr>
        <w:spacing w:line="256" w:lineRule="auto"/>
      </w:pPr>
      <w:bookmarkStart w:id="0" w:name="_GoBack"/>
      <w:bookmarkEnd w:id="0"/>
    </w:p>
    <w:p w14:paraId="04D07504"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5"/>
          <w:sz w:val="31"/>
          <w:szCs w:val="31"/>
          <w:lang w:eastAsia="zh-CN"/>
        </w:rPr>
        <w:t>附件</w:t>
      </w:r>
    </w:p>
    <w:p w14:paraId="7531E376">
      <w:pPr>
        <w:spacing w:before="84" w:line="229" w:lineRule="auto"/>
        <w:ind w:left="2410"/>
        <w:rPr>
          <w:rFonts w:ascii="宋体" w:hAnsi="宋体" w:eastAsia="宋体" w:cs="宋体"/>
          <w:sz w:val="40"/>
          <w:szCs w:val="40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40"/>
          <w:szCs w:val="40"/>
          <w:lang w:eastAsia="zh-CN"/>
        </w:rPr>
        <w:t>2026</w:t>
      </w:r>
      <w:r>
        <w:rPr>
          <w:rFonts w:ascii="微软雅黑" w:hAnsi="微软雅黑" w:eastAsia="微软雅黑" w:cs="微软雅黑"/>
          <w:spacing w:val="-4"/>
          <w:sz w:val="40"/>
          <w:szCs w:val="40"/>
          <w:lang w:eastAsia="zh-CN"/>
        </w:rPr>
        <w:t>年度粮食</w:t>
      </w:r>
      <w:r>
        <w:rPr>
          <w:rFonts w:ascii="宋体" w:hAnsi="宋体" w:eastAsia="宋体" w:cs="宋体"/>
          <w:b/>
          <w:bCs/>
          <w:spacing w:val="-4"/>
          <w:sz w:val="40"/>
          <w:szCs w:val="40"/>
          <w:lang w:eastAsia="zh-CN"/>
        </w:rPr>
        <w:t>第一、第二产融合发展项目申报汇总表</w:t>
      </w:r>
    </w:p>
    <w:p w14:paraId="324DC560">
      <w:pPr>
        <w:pStyle w:val="2"/>
        <w:spacing w:before="143" w:line="215" w:lineRule="auto"/>
        <w:ind w:left="121"/>
        <w:rPr>
          <w:sz w:val="20"/>
          <w:szCs w:val="20"/>
          <w:lang w:eastAsia="zh-CN"/>
        </w:rPr>
      </w:pPr>
      <w:r>
        <w:rPr>
          <w:spacing w:val="2"/>
          <w:sz w:val="24"/>
          <w:szCs w:val="24"/>
          <w:lang w:eastAsia="zh-CN"/>
        </w:rPr>
        <w:t>填报单位：</w:t>
      </w:r>
      <w:r>
        <w:rPr>
          <w:rFonts w:hint="eastAsia"/>
          <w:spacing w:val="2"/>
          <w:sz w:val="24"/>
          <w:szCs w:val="24"/>
          <w:lang w:val="en-US" w:eastAsia="zh-CN"/>
        </w:rPr>
        <w:t>榆树市</w:t>
      </w:r>
      <w:r>
        <w:rPr>
          <w:spacing w:val="2"/>
          <w:sz w:val="24"/>
          <w:szCs w:val="24"/>
          <w:lang w:eastAsia="zh-CN"/>
        </w:rPr>
        <w:t>粮食和物资储备</w:t>
      </w:r>
      <w:r>
        <w:rPr>
          <w:rFonts w:hint="eastAsia"/>
          <w:spacing w:val="2"/>
          <w:sz w:val="24"/>
          <w:szCs w:val="24"/>
          <w:lang w:val="en-US" w:eastAsia="zh-CN"/>
        </w:rPr>
        <w:t>局</w:t>
      </w:r>
      <w:r>
        <w:rPr>
          <w:spacing w:val="2"/>
          <w:sz w:val="24"/>
          <w:szCs w:val="24"/>
          <w:lang w:eastAsia="zh-CN"/>
        </w:rPr>
        <w:t xml:space="preserve">                                                        </w:t>
      </w:r>
      <w:r>
        <w:rPr>
          <w:spacing w:val="2"/>
          <w:sz w:val="20"/>
          <w:szCs w:val="20"/>
          <w:lang w:eastAsia="zh-CN"/>
        </w:rPr>
        <w:t>单位：万元，万吨，台，个</w:t>
      </w:r>
    </w:p>
    <w:p w14:paraId="7595FD59">
      <w:pPr>
        <w:spacing w:line="45" w:lineRule="exact"/>
        <w:rPr>
          <w:lang w:eastAsia="zh-CN"/>
        </w:rPr>
      </w:pPr>
    </w:p>
    <w:tbl>
      <w:tblPr>
        <w:tblStyle w:val="7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681"/>
        <w:gridCol w:w="456"/>
        <w:gridCol w:w="456"/>
        <w:gridCol w:w="3027"/>
        <w:gridCol w:w="1073"/>
        <w:gridCol w:w="4879"/>
        <w:gridCol w:w="475"/>
        <w:gridCol w:w="556"/>
        <w:gridCol w:w="654"/>
        <w:gridCol w:w="456"/>
        <w:gridCol w:w="364"/>
        <w:gridCol w:w="406"/>
      </w:tblGrid>
      <w:tr w14:paraId="44A7E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0" w:type="pct"/>
            <w:vMerge w:val="restart"/>
            <w:tcBorders>
              <w:bottom w:val="nil"/>
            </w:tcBorders>
            <w:textDirection w:val="tbRlV"/>
            <w:vAlign w:val="center"/>
          </w:tcPr>
          <w:p w14:paraId="4DEE9DA9">
            <w:pPr>
              <w:spacing w:before="164" w:line="216" w:lineRule="auto"/>
              <w:ind w:left="408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序号</w:t>
            </w:r>
          </w:p>
        </w:tc>
        <w:tc>
          <w:tcPr>
            <w:tcW w:w="245" w:type="pct"/>
            <w:vMerge w:val="restart"/>
            <w:tcBorders>
              <w:bottom w:val="nil"/>
            </w:tcBorders>
            <w:vAlign w:val="center"/>
          </w:tcPr>
          <w:p w14:paraId="51C8AAB7">
            <w:pPr>
              <w:spacing w:line="341" w:lineRule="auto"/>
              <w:jc w:val="center"/>
            </w:pPr>
          </w:p>
          <w:p w14:paraId="34E6CDFD">
            <w:pPr>
              <w:spacing w:before="65" w:line="230" w:lineRule="auto"/>
              <w:ind w:left="212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项目</w:t>
            </w:r>
          </w:p>
          <w:p w14:paraId="47C613EC">
            <w:pPr>
              <w:spacing w:before="21" w:line="231" w:lineRule="auto"/>
              <w:ind w:left="218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164" w:type="pct"/>
            <w:vMerge w:val="restart"/>
            <w:tcBorders>
              <w:bottom w:val="nil"/>
            </w:tcBorders>
            <w:vAlign w:val="center"/>
          </w:tcPr>
          <w:p w14:paraId="45DE9D37">
            <w:pPr>
              <w:spacing w:line="342" w:lineRule="auto"/>
              <w:jc w:val="center"/>
            </w:pPr>
          </w:p>
          <w:p w14:paraId="52EF11E2">
            <w:pPr>
              <w:spacing w:before="65" w:line="239" w:lineRule="auto"/>
              <w:ind w:left="186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企业</w:t>
            </w:r>
          </w:p>
          <w:p w14:paraId="13E0857B">
            <w:pPr>
              <w:spacing w:before="11" w:line="231" w:lineRule="auto"/>
              <w:ind w:left="187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性质</w:t>
            </w:r>
          </w:p>
        </w:tc>
        <w:tc>
          <w:tcPr>
            <w:tcW w:w="164" w:type="pct"/>
            <w:vMerge w:val="restart"/>
            <w:tcBorders>
              <w:bottom w:val="nil"/>
            </w:tcBorders>
            <w:vAlign w:val="center"/>
          </w:tcPr>
          <w:p w14:paraId="4C50CC46">
            <w:pPr>
              <w:spacing w:line="341" w:lineRule="auto"/>
              <w:jc w:val="center"/>
            </w:pPr>
          </w:p>
          <w:p w14:paraId="5C6501E5">
            <w:pPr>
              <w:spacing w:before="65" w:line="231" w:lineRule="auto"/>
              <w:ind w:left="221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隶属</w:t>
            </w:r>
          </w:p>
          <w:p w14:paraId="0C22C289">
            <w:pPr>
              <w:spacing w:before="21" w:line="232" w:lineRule="auto"/>
              <w:ind w:left="223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关系</w:t>
            </w:r>
          </w:p>
        </w:tc>
        <w:tc>
          <w:tcPr>
            <w:tcW w:w="1089" w:type="pct"/>
            <w:vMerge w:val="restart"/>
            <w:tcBorders>
              <w:bottom w:val="nil"/>
            </w:tcBorders>
            <w:vAlign w:val="center"/>
          </w:tcPr>
          <w:p w14:paraId="784395DB">
            <w:pPr>
              <w:spacing w:line="342" w:lineRule="auto"/>
              <w:jc w:val="center"/>
            </w:pPr>
          </w:p>
          <w:p w14:paraId="289A3839">
            <w:pPr>
              <w:spacing w:before="65" w:line="229" w:lineRule="auto"/>
              <w:ind w:left="245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绩效</w:t>
            </w:r>
          </w:p>
          <w:p w14:paraId="768CB999">
            <w:pPr>
              <w:spacing w:before="22" w:line="233" w:lineRule="auto"/>
              <w:ind w:left="271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目标</w:t>
            </w:r>
          </w:p>
        </w:tc>
        <w:tc>
          <w:tcPr>
            <w:tcW w:w="2141" w:type="pct"/>
            <w:gridSpan w:val="2"/>
            <w:vAlign w:val="center"/>
          </w:tcPr>
          <w:p w14:paraId="51BFF4D1">
            <w:pPr>
              <w:spacing w:before="233" w:line="229" w:lineRule="auto"/>
              <w:ind w:left="1426"/>
              <w:jc w:val="center"/>
              <w:rPr>
                <w:rFonts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  <w:lang w:eastAsia="zh-CN"/>
              </w:rPr>
              <w:t>建设内容（简要概述）</w:t>
            </w:r>
          </w:p>
        </w:tc>
        <w:tc>
          <w:tcPr>
            <w:tcW w:w="171" w:type="pct"/>
            <w:vMerge w:val="restart"/>
            <w:tcBorders>
              <w:bottom w:val="nil"/>
            </w:tcBorders>
            <w:vAlign w:val="center"/>
          </w:tcPr>
          <w:p w14:paraId="2A1D5102">
            <w:pPr>
              <w:spacing w:line="341" w:lineRule="auto"/>
              <w:jc w:val="center"/>
              <w:rPr>
                <w:lang w:eastAsia="zh-CN"/>
              </w:rPr>
            </w:pPr>
          </w:p>
          <w:p w14:paraId="65BB1023">
            <w:pPr>
              <w:spacing w:before="65" w:line="230" w:lineRule="auto"/>
              <w:ind w:left="127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分项投</w:t>
            </w:r>
          </w:p>
          <w:p w14:paraId="1055B82A">
            <w:pPr>
              <w:spacing w:before="22" w:line="229" w:lineRule="auto"/>
              <w:ind w:left="129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资概算</w:t>
            </w:r>
          </w:p>
        </w:tc>
        <w:tc>
          <w:tcPr>
            <w:tcW w:w="200" w:type="pct"/>
            <w:vMerge w:val="restart"/>
            <w:tcBorders>
              <w:bottom w:val="nil"/>
            </w:tcBorders>
            <w:vAlign w:val="center"/>
          </w:tcPr>
          <w:p w14:paraId="76EF4670">
            <w:pPr>
              <w:spacing w:line="341" w:lineRule="auto"/>
              <w:jc w:val="center"/>
            </w:pPr>
          </w:p>
          <w:p w14:paraId="425B1F6E">
            <w:pPr>
              <w:spacing w:before="65" w:line="251" w:lineRule="auto"/>
              <w:ind w:left="222" w:right="111" w:hanging="96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总投资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概算</w:t>
            </w:r>
          </w:p>
        </w:tc>
        <w:tc>
          <w:tcPr>
            <w:tcW w:w="235" w:type="pct"/>
            <w:vMerge w:val="restart"/>
            <w:tcBorders>
              <w:bottom w:val="nil"/>
            </w:tcBorders>
            <w:vAlign w:val="center"/>
          </w:tcPr>
          <w:p w14:paraId="5D6D75C8">
            <w:pPr>
              <w:spacing w:before="271" w:line="231" w:lineRule="auto"/>
              <w:ind w:left="225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申请</w:t>
            </w:r>
          </w:p>
          <w:p w14:paraId="6AE3A66A">
            <w:pPr>
              <w:spacing w:before="21" w:line="229" w:lineRule="auto"/>
              <w:ind w:left="209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省级</w:t>
            </w:r>
          </w:p>
          <w:p w14:paraId="5D1E64B0">
            <w:pPr>
              <w:spacing w:before="24" w:line="231" w:lineRule="auto"/>
              <w:ind w:left="206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补助</w:t>
            </w:r>
          </w:p>
        </w:tc>
        <w:tc>
          <w:tcPr>
            <w:tcW w:w="294" w:type="pct"/>
            <w:gridSpan w:val="2"/>
            <w:vAlign w:val="center"/>
          </w:tcPr>
          <w:p w14:paraId="3F1EB899">
            <w:pPr>
              <w:spacing w:before="233" w:line="230" w:lineRule="auto"/>
              <w:ind w:left="284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企业自筹</w:t>
            </w:r>
          </w:p>
        </w:tc>
        <w:tc>
          <w:tcPr>
            <w:tcW w:w="146" w:type="pct"/>
            <w:vAlign w:val="center"/>
          </w:tcPr>
          <w:p w14:paraId="0032EC31">
            <w:pPr>
              <w:spacing w:before="233" w:line="230" w:lineRule="auto"/>
              <w:ind w:left="169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 w14:paraId="451AF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0" w:type="pct"/>
            <w:vMerge w:val="continue"/>
            <w:tcBorders>
              <w:top w:val="nil"/>
            </w:tcBorders>
            <w:textDirection w:val="tbRlV"/>
            <w:vAlign w:val="center"/>
          </w:tcPr>
          <w:p w14:paraId="3238DF5C">
            <w:pPr>
              <w:jc w:val="center"/>
            </w:pPr>
          </w:p>
        </w:tc>
        <w:tc>
          <w:tcPr>
            <w:tcW w:w="245" w:type="pct"/>
            <w:vMerge w:val="continue"/>
            <w:tcBorders>
              <w:top w:val="nil"/>
            </w:tcBorders>
            <w:vAlign w:val="center"/>
          </w:tcPr>
          <w:p w14:paraId="1451C44A">
            <w:pPr>
              <w:jc w:val="center"/>
            </w:pPr>
          </w:p>
        </w:tc>
        <w:tc>
          <w:tcPr>
            <w:tcW w:w="164" w:type="pct"/>
            <w:vMerge w:val="continue"/>
            <w:tcBorders>
              <w:top w:val="nil"/>
            </w:tcBorders>
            <w:vAlign w:val="center"/>
          </w:tcPr>
          <w:p w14:paraId="6353BCF0">
            <w:pPr>
              <w:jc w:val="center"/>
            </w:pPr>
          </w:p>
        </w:tc>
        <w:tc>
          <w:tcPr>
            <w:tcW w:w="164" w:type="pct"/>
            <w:vMerge w:val="continue"/>
            <w:tcBorders>
              <w:top w:val="nil"/>
            </w:tcBorders>
            <w:vAlign w:val="center"/>
          </w:tcPr>
          <w:p w14:paraId="3A2ED250">
            <w:pPr>
              <w:jc w:val="center"/>
            </w:pPr>
          </w:p>
        </w:tc>
        <w:tc>
          <w:tcPr>
            <w:tcW w:w="1089" w:type="pct"/>
            <w:vMerge w:val="continue"/>
            <w:tcBorders>
              <w:top w:val="nil"/>
            </w:tcBorders>
            <w:vAlign w:val="center"/>
          </w:tcPr>
          <w:p w14:paraId="58B52466">
            <w:pPr>
              <w:jc w:val="center"/>
            </w:pPr>
          </w:p>
        </w:tc>
        <w:tc>
          <w:tcPr>
            <w:tcW w:w="386" w:type="pct"/>
            <w:vAlign w:val="center"/>
          </w:tcPr>
          <w:p w14:paraId="07F10EF4">
            <w:pPr>
              <w:spacing w:before="202" w:line="229" w:lineRule="auto"/>
              <w:ind w:left="783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分类</w:t>
            </w:r>
          </w:p>
        </w:tc>
        <w:tc>
          <w:tcPr>
            <w:tcW w:w="1755" w:type="pct"/>
            <w:vAlign w:val="center"/>
          </w:tcPr>
          <w:p w14:paraId="2A7A04C7">
            <w:pPr>
              <w:spacing w:before="201" w:line="231" w:lineRule="auto"/>
              <w:ind w:left="1078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主要内容</w:t>
            </w:r>
          </w:p>
        </w:tc>
        <w:tc>
          <w:tcPr>
            <w:tcW w:w="171" w:type="pct"/>
            <w:vMerge w:val="continue"/>
            <w:tcBorders>
              <w:top w:val="nil"/>
            </w:tcBorders>
            <w:vAlign w:val="center"/>
          </w:tcPr>
          <w:p w14:paraId="12D9F44A">
            <w:pPr>
              <w:jc w:val="center"/>
            </w:pPr>
          </w:p>
        </w:tc>
        <w:tc>
          <w:tcPr>
            <w:tcW w:w="200" w:type="pct"/>
            <w:vMerge w:val="continue"/>
            <w:tcBorders>
              <w:top w:val="nil"/>
            </w:tcBorders>
            <w:vAlign w:val="center"/>
          </w:tcPr>
          <w:p w14:paraId="40C9DE21">
            <w:pPr>
              <w:jc w:val="center"/>
            </w:pPr>
          </w:p>
        </w:tc>
        <w:tc>
          <w:tcPr>
            <w:tcW w:w="235" w:type="pct"/>
            <w:vMerge w:val="continue"/>
            <w:tcBorders>
              <w:top w:val="nil"/>
            </w:tcBorders>
            <w:vAlign w:val="center"/>
          </w:tcPr>
          <w:p w14:paraId="54EA7D1C">
            <w:pPr>
              <w:jc w:val="center"/>
            </w:pPr>
          </w:p>
        </w:tc>
        <w:tc>
          <w:tcPr>
            <w:tcW w:w="164" w:type="pct"/>
            <w:vAlign w:val="center"/>
          </w:tcPr>
          <w:p w14:paraId="31A666B8">
            <w:pPr>
              <w:spacing w:before="202" w:line="232" w:lineRule="auto"/>
              <w:ind w:left="196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自有</w:t>
            </w:r>
          </w:p>
        </w:tc>
        <w:tc>
          <w:tcPr>
            <w:tcW w:w="131" w:type="pct"/>
            <w:vAlign w:val="center"/>
          </w:tcPr>
          <w:p w14:paraId="6688B9AD">
            <w:pPr>
              <w:spacing w:before="201" w:line="231" w:lineRule="auto"/>
              <w:ind w:left="125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其他</w:t>
            </w:r>
          </w:p>
        </w:tc>
        <w:tc>
          <w:tcPr>
            <w:tcW w:w="146" w:type="pct"/>
            <w:vAlign w:val="center"/>
          </w:tcPr>
          <w:p w14:paraId="16F70C74">
            <w:pPr>
              <w:jc w:val="center"/>
            </w:pPr>
          </w:p>
        </w:tc>
      </w:tr>
      <w:tr w14:paraId="4001B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0" w:type="pct"/>
            <w:vMerge w:val="restart"/>
            <w:tcBorders>
              <w:bottom w:val="nil"/>
            </w:tcBorders>
            <w:vAlign w:val="center"/>
          </w:tcPr>
          <w:p w14:paraId="01A23D44">
            <w:pPr>
              <w:pStyle w:val="8"/>
              <w:jc w:val="center"/>
              <w:rPr>
                <w:spacing w:val="8"/>
                <w:sz w:val="20"/>
                <w:szCs w:val="20"/>
              </w:rPr>
            </w:pPr>
          </w:p>
          <w:p w14:paraId="69D82C99">
            <w:pPr>
              <w:pStyle w:val="8"/>
              <w:jc w:val="center"/>
              <w:rPr>
                <w:spacing w:val="8"/>
                <w:sz w:val="20"/>
                <w:szCs w:val="20"/>
              </w:rPr>
            </w:pPr>
          </w:p>
          <w:p w14:paraId="4033C92A">
            <w:pPr>
              <w:pStyle w:val="8"/>
              <w:jc w:val="center"/>
              <w:rPr>
                <w:spacing w:val="8"/>
                <w:sz w:val="20"/>
                <w:szCs w:val="20"/>
              </w:rPr>
            </w:pPr>
          </w:p>
          <w:p w14:paraId="34253C5A">
            <w:pPr>
              <w:pStyle w:val="8"/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1</w:t>
            </w:r>
          </w:p>
        </w:tc>
        <w:tc>
          <w:tcPr>
            <w:tcW w:w="245" w:type="pct"/>
            <w:vMerge w:val="restart"/>
            <w:tcBorders>
              <w:bottom w:val="nil"/>
            </w:tcBorders>
            <w:vAlign w:val="center"/>
          </w:tcPr>
          <w:p w14:paraId="2CC00519">
            <w:pPr>
              <w:pStyle w:val="8"/>
              <w:jc w:val="center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榆树市榆乡豆制品有限公司</w:t>
            </w:r>
          </w:p>
        </w:tc>
        <w:tc>
          <w:tcPr>
            <w:tcW w:w="164" w:type="pct"/>
            <w:vMerge w:val="restart"/>
            <w:tcBorders>
              <w:bottom w:val="nil"/>
            </w:tcBorders>
            <w:vAlign w:val="center"/>
          </w:tcPr>
          <w:p w14:paraId="6DDC65C3">
            <w:pPr>
              <w:pStyle w:val="8"/>
              <w:jc w:val="center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民营企业</w:t>
            </w:r>
          </w:p>
        </w:tc>
        <w:tc>
          <w:tcPr>
            <w:tcW w:w="164" w:type="pct"/>
            <w:vMerge w:val="restart"/>
            <w:tcBorders>
              <w:bottom w:val="nil"/>
            </w:tcBorders>
            <w:vAlign w:val="center"/>
          </w:tcPr>
          <w:p w14:paraId="3A27F0F7">
            <w:pPr>
              <w:pStyle w:val="8"/>
              <w:jc w:val="center"/>
              <w:rPr>
                <w:spacing w:val="8"/>
                <w:sz w:val="20"/>
                <w:szCs w:val="20"/>
              </w:rPr>
            </w:pPr>
          </w:p>
        </w:tc>
        <w:tc>
          <w:tcPr>
            <w:tcW w:w="1089" w:type="pct"/>
            <w:vAlign w:val="center"/>
          </w:tcPr>
          <w:p w14:paraId="2FC927E6">
            <w:pPr>
              <w:pStyle w:val="8"/>
              <w:jc w:val="center"/>
              <w:rPr>
                <w:lang w:eastAsia="zh-CN"/>
              </w:rPr>
            </w:pPr>
            <w:r>
              <w:rPr>
                <w:spacing w:val="8"/>
                <w:sz w:val="20"/>
                <w:szCs w:val="20"/>
              </w:rPr>
              <w:t>项目达产后，豆制品总产能由年产7000吨提升至20000吨，产品结构优化为低糖、低嘌呤等精深加工健康食品。新增低糖低嘌呤豆浆、大豆组织蛋白及膳食纤维等产品，年总投豆量增至10000吨。</w:t>
            </w:r>
          </w:p>
        </w:tc>
        <w:tc>
          <w:tcPr>
            <w:tcW w:w="386" w:type="pct"/>
            <w:vAlign w:val="center"/>
          </w:tcPr>
          <w:p w14:paraId="7C7A8354">
            <w:pPr>
              <w:pStyle w:val="8"/>
              <w:spacing w:before="304" w:line="225" w:lineRule="auto"/>
              <w:ind w:left="357"/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提升加工能力</w:t>
            </w:r>
          </w:p>
        </w:tc>
        <w:tc>
          <w:tcPr>
            <w:tcW w:w="1755" w:type="pct"/>
            <w:vAlign w:val="center"/>
          </w:tcPr>
          <w:p w14:paraId="03DC93BC">
            <w:pPr>
              <w:pStyle w:val="8"/>
              <w:jc w:val="center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1.升级改造9条低糖/低嘌呤豆腐干数字化生产线：购置智能大豆浸泡箱24台、豆水分离机2台及大豆分布器2台，更换大豆磨浆机30台、微压连续煮浆机3台，并配套碱水贮存罐6台、熟浆槽1台，新增点脑缸12台、卤水罐3台及振动筛1台，全面更新生产流水线9条、3层常温晾晒机9条及5层低温晾晒机9条，增设豆腐整理平台9台。</w:t>
            </w:r>
            <w:r>
              <w:rPr>
                <w:spacing w:val="8"/>
                <w:sz w:val="20"/>
                <w:szCs w:val="20"/>
              </w:rPr>
              <w:br w:type="textWrapping"/>
            </w:r>
            <w:r>
              <w:rPr>
                <w:rFonts w:hint="eastAsia"/>
                <w:spacing w:val="8"/>
                <w:sz w:val="20"/>
                <w:szCs w:val="20"/>
              </w:rPr>
              <w:t>2.升级改造1条厚豆干数字化生产线：</w:t>
            </w:r>
            <w:r>
              <w:rPr>
                <w:spacing w:val="8"/>
                <w:sz w:val="20"/>
                <w:szCs w:val="20"/>
              </w:rPr>
              <w:t>新增点脑桶6个及自动上脑机1台，购置脱水机3台，引入摊凉机1台，升级卤煮机2台并增设油炸机1台</w:t>
            </w:r>
            <w:r>
              <w:rPr>
                <w:rFonts w:hint="eastAsia"/>
                <w:spacing w:val="8"/>
                <w:sz w:val="20"/>
                <w:szCs w:val="20"/>
              </w:rPr>
              <w:t>。</w:t>
            </w:r>
            <w:r>
              <w:rPr>
                <w:spacing w:val="8"/>
                <w:sz w:val="20"/>
                <w:szCs w:val="20"/>
              </w:rPr>
              <w:br w:type="textWrapping"/>
            </w:r>
            <w:r>
              <w:rPr>
                <w:rFonts w:hint="eastAsia"/>
                <w:spacing w:val="8"/>
                <w:sz w:val="20"/>
                <w:szCs w:val="20"/>
              </w:rPr>
              <w:t>3.升级改造1条多味水豆腐数字化生产线：</w:t>
            </w:r>
            <w:r>
              <w:rPr>
                <w:spacing w:val="8"/>
                <w:sz w:val="20"/>
                <w:szCs w:val="20"/>
              </w:rPr>
              <w:t>购置自动点脑机1台，配套豆腐成型箱500个，引入水豆腐生产线1条，配备切块机1台</w:t>
            </w:r>
            <w:r>
              <w:rPr>
                <w:rFonts w:hint="eastAsia"/>
                <w:spacing w:val="8"/>
                <w:sz w:val="20"/>
                <w:szCs w:val="20"/>
              </w:rPr>
              <w:t>，</w:t>
            </w:r>
            <w:r>
              <w:rPr>
                <w:spacing w:val="8"/>
                <w:sz w:val="20"/>
                <w:szCs w:val="20"/>
              </w:rPr>
              <w:t>购置无菌盒式包装机1台</w:t>
            </w:r>
            <w:r>
              <w:rPr>
                <w:rFonts w:hint="eastAsia"/>
                <w:spacing w:val="8"/>
                <w:sz w:val="20"/>
                <w:szCs w:val="20"/>
              </w:rPr>
              <w:t>。</w:t>
            </w:r>
            <w:r>
              <w:rPr>
                <w:spacing w:val="8"/>
                <w:sz w:val="20"/>
                <w:szCs w:val="20"/>
              </w:rPr>
              <w:br w:type="textWrapping"/>
            </w:r>
            <w:r>
              <w:rPr>
                <w:rFonts w:hint="eastAsia"/>
                <w:spacing w:val="8"/>
                <w:sz w:val="20"/>
                <w:szCs w:val="20"/>
              </w:rPr>
              <w:t>4.新增1台套膨化豆制品生产设备：</w:t>
            </w:r>
            <w:r>
              <w:rPr>
                <w:spacing w:val="8"/>
                <w:sz w:val="20"/>
                <w:szCs w:val="20"/>
              </w:rPr>
              <w:t>配置粉碎机1台，配备混合机1台，购置大豆膨化机1台，引入剪切机1台</w:t>
            </w:r>
            <w:r>
              <w:rPr>
                <w:rFonts w:hint="eastAsia"/>
                <w:spacing w:val="8"/>
                <w:sz w:val="20"/>
                <w:szCs w:val="20"/>
              </w:rPr>
              <w:t>，</w:t>
            </w:r>
            <w:r>
              <w:rPr>
                <w:spacing w:val="8"/>
                <w:sz w:val="20"/>
                <w:szCs w:val="20"/>
              </w:rPr>
              <w:t>配套气泵1台</w:t>
            </w:r>
            <w:r>
              <w:rPr>
                <w:rFonts w:hint="eastAsia"/>
                <w:spacing w:val="8"/>
                <w:sz w:val="20"/>
                <w:szCs w:val="20"/>
              </w:rPr>
              <w:t>，</w:t>
            </w:r>
            <w:r>
              <w:rPr>
                <w:spacing w:val="8"/>
                <w:sz w:val="20"/>
                <w:szCs w:val="20"/>
              </w:rPr>
              <w:t>配置烘干机1台</w:t>
            </w:r>
            <w:r>
              <w:rPr>
                <w:rFonts w:hint="eastAsia"/>
                <w:spacing w:val="8"/>
                <w:sz w:val="20"/>
                <w:szCs w:val="20"/>
              </w:rPr>
              <w:t>以及</w:t>
            </w:r>
            <w:r>
              <w:rPr>
                <w:spacing w:val="8"/>
                <w:sz w:val="20"/>
                <w:szCs w:val="20"/>
              </w:rPr>
              <w:t>定量包装机1台</w:t>
            </w:r>
            <w:r>
              <w:rPr>
                <w:rFonts w:hint="eastAsia"/>
                <w:spacing w:val="8"/>
                <w:sz w:val="20"/>
                <w:szCs w:val="20"/>
              </w:rPr>
              <w:t>。</w:t>
            </w:r>
            <w:r>
              <w:rPr>
                <w:spacing w:val="8"/>
                <w:sz w:val="20"/>
                <w:szCs w:val="20"/>
              </w:rPr>
              <w:br w:type="textWrapping"/>
            </w:r>
            <w:r>
              <w:rPr>
                <w:rFonts w:hint="eastAsia"/>
                <w:spacing w:val="8"/>
                <w:sz w:val="20"/>
                <w:szCs w:val="20"/>
              </w:rPr>
              <w:t>5.新增1台套大豆膳食纤维粉生产设备，</w:t>
            </w:r>
            <w:r>
              <w:rPr>
                <w:spacing w:val="8"/>
                <w:sz w:val="20"/>
                <w:szCs w:val="20"/>
              </w:rPr>
              <w:t>配置豆渣纯化桶5个，配备搅拌桶3个</w:t>
            </w:r>
            <w:r>
              <w:rPr>
                <w:rFonts w:hint="eastAsia"/>
                <w:spacing w:val="8"/>
                <w:sz w:val="20"/>
                <w:szCs w:val="20"/>
              </w:rPr>
              <w:t>，</w:t>
            </w:r>
            <w:r>
              <w:rPr>
                <w:spacing w:val="8"/>
                <w:sz w:val="20"/>
                <w:szCs w:val="20"/>
              </w:rPr>
              <w:t>购置粉碎机1台，引入分离机2台</w:t>
            </w:r>
            <w:r>
              <w:rPr>
                <w:rFonts w:hint="eastAsia"/>
                <w:spacing w:val="8"/>
                <w:sz w:val="20"/>
                <w:szCs w:val="20"/>
              </w:rPr>
              <w:t>，</w:t>
            </w:r>
            <w:r>
              <w:rPr>
                <w:spacing w:val="8"/>
                <w:sz w:val="20"/>
                <w:szCs w:val="20"/>
              </w:rPr>
              <w:t>热泵循环干燥机2台</w:t>
            </w:r>
            <w:r>
              <w:rPr>
                <w:rFonts w:hint="eastAsia"/>
                <w:spacing w:val="8"/>
                <w:sz w:val="20"/>
                <w:szCs w:val="20"/>
              </w:rPr>
              <w:t>以及</w:t>
            </w:r>
            <w:r>
              <w:rPr>
                <w:spacing w:val="8"/>
                <w:sz w:val="20"/>
                <w:szCs w:val="20"/>
              </w:rPr>
              <w:t>9套高效制冷机组</w:t>
            </w:r>
            <w:r>
              <w:rPr>
                <w:rFonts w:hint="eastAsia"/>
                <w:spacing w:val="8"/>
                <w:sz w:val="20"/>
                <w:szCs w:val="20"/>
              </w:rPr>
              <w:t>。</w:t>
            </w:r>
            <w:r>
              <w:rPr>
                <w:spacing w:val="8"/>
                <w:sz w:val="20"/>
                <w:szCs w:val="20"/>
              </w:rPr>
              <w:br w:type="textWrapping"/>
            </w:r>
            <w:r>
              <w:rPr>
                <w:rFonts w:hint="eastAsia"/>
                <w:spacing w:val="8"/>
                <w:sz w:val="20"/>
                <w:szCs w:val="20"/>
              </w:rPr>
              <w:t>6.清理与输送系统建设：</w:t>
            </w:r>
            <w:r>
              <w:rPr>
                <w:spacing w:val="8"/>
                <w:sz w:val="20"/>
                <w:szCs w:val="20"/>
              </w:rPr>
              <w:t>配备清选机1台（双层筛分）</w:t>
            </w:r>
            <w:r>
              <w:rPr>
                <w:rFonts w:hint="eastAsia"/>
                <w:spacing w:val="8"/>
                <w:sz w:val="20"/>
                <w:szCs w:val="20"/>
              </w:rPr>
              <w:t>，</w:t>
            </w:r>
            <w:r>
              <w:rPr>
                <w:spacing w:val="8"/>
                <w:sz w:val="20"/>
                <w:szCs w:val="20"/>
              </w:rPr>
              <w:t>配备提升机2条（14.5M及18M斗提立式）、大仓至斗提输送机1条，配备平移输送机1条、小仓至大仓输送机1条及多条不同规格（6M-8M）的皮带输送机</w:t>
            </w:r>
            <w:r>
              <w:rPr>
                <w:rFonts w:hint="eastAsia"/>
                <w:spacing w:val="8"/>
                <w:sz w:val="20"/>
                <w:szCs w:val="20"/>
              </w:rPr>
              <w:t>。</w:t>
            </w:r>
            <w:r>
              <w:rPr>
                <w:spacing w:val="8"/>
                <w:sz w:val="20"/>
                <w:szCs w:val="20"/>
              </w:rPr>
              <w:br w:type="textWrapping"/>
            </w:r>
            <w:r>
              <w:rPr>
                <w:rFonts w:hint="eastAsia"/>
                <w:spacing w:val="8"/>
                <w:sz w:val="20"/>
                <w:szCs w:val="20"/>
              </w:rPr>
              <w:t>7.新增1台（套）6吨生物质蒸汽锅炉：为煮浆、卤制、烘干及杀菌等关键工序持续提供稳定、洁净的饱和蒸汽。</w:t>
            </w:r>
            <w:r>
              <w:rPr>
                <w:spacing w:val="8"/>
                <w:sz w:val="20"/>
                <w:szCs w:val="20"/>
              </w:rPr>
              <w:br w:type="textWrapping"/>
            </w:r>
            <w:r>
              <w:rPr>
                <w:rFonts w:hint="eastAsia"/>
                <w:spacing w:val="8"/>
                <w:sz w:val="20"/>
                <w:szCs w:val="20"/>
              </w:rPr>
              <w:t>8.改建3000平方米洁净车间：改造面积8000平方米（</w:t>
            </w:r>
            <w:r>
              <w:rPr>
                <w:spacing w:val="8"/>
                <w:sz w:val="20"/>
                <w:szCs w:val="20"/>
              </w:rPr>
              <w:t>围护结构、吊顶及隔断</w:t>
            </w:r>
            <w:r>
              <w:rPr>
                <w:rFonts w:hint="eastAsia"/>
                <w:spacing w:val="8"/>
                <w:sz w:val="20"/>
                <w:szCs w:val="20"/>
              </w:rPr>
              <w:t>），</w:t>
            </w:r>
            <w:r>
              <w:rPr>
                <w:spacing w:val="8"/>
                <w:sz w:val="20"/>
                <w:szCs w:val="20"/>
              </w:rPr>
              <w:t>配备1套大型10万级冷暖新风系统</w:t>
            </w:r>
            <w:r>
              <w:rPr>
                <w:rFonts w:hint="eastAsia"/>
                <w:spacing w:val="8"/>
                <w:sz w:val="20"/>
                <w:szCs w:val="20"/>
              </w:rPr>
              <w:t>，</w:t>
            </w:r>
            <w:r>
              <w:rPr>
                <w:spacing w:val="8"/>
                <w:sz w:val="20"/>
                <w:szCs w:val="20"/>
              </w:rPr>
              <w:t>安装12台紫外线防蝇灯，配置3台高压清洁机（压力0.8MPa）</w:t>
            </w:r>
            <w:r>
              <w:rPr>
                <w:rFonts w:hint="eastAsia"/>
                <w:spacing w:val="8"/>
                <w:sz w:val="20"/>
                <w:szCs w:val="20"/>
              </w:rPr>
              <w:t>。</w:t>
            </w:r>
          </w:p>
        </w:tc>
        <w:tc>
          <w:tcPr>
            <w:tcW w:w="171" w:type="pct"/>
            <w:vAlign w:val="center"/>
          </w:tcPr>
          <w:p w14:paraId="4CDC42C9">
            <w:pPr>
              <w:pStyle w:val="8"/>
              <w:jc w:val="center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2046</w:t>
            </w:r>
          </w:p>
        </w:tc>
        <w:tc>
          <w:tcPr>
            <w:tcW w:w="200" w:type="pct"/>
            <w:vMerge w:val="restart"/>
            <w:tcBorders>
              <w:bottom w:val="nil"/>
            </w:tcBorders>
            <w:vAlign w:val="center"/>
          </w:tcPr>
          <w:p w14:paraId="1D8700D3">
            <w:pPr>
              <w:pStyle w:val="8"/>
              <w:jc w:val="center"/>
              <w:rPr>
                <w:rFonts w:hint="eastAsia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2435</w:t>
            </w:r>
          </w:p>
        </w:tc>
        <w:tc>
          <w:tcPr>
            <w:tcW w:w="235" w:type="pct"/>
            <w:vMerge w:val="restart"/>
            <w:tcBorders>
              <w:bottom w:val="nil"/>
            </w:tcBorders>
            <w:vAlign w:val="center"/>
          </w:tcPr>
          <w:p w14:paraId="199B782B">
            <w:pPr>
              <w:pStyle w:val="8"/>
              <w:jc w:val="center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1205.3</w:t>
            </w:r>
          </w:p>
        </w:tc>
        <w:tc>
          <w:tcPr>
            <w:tcW w:w="164" w:type="pct"/>
            <w:vMerge w:val="restart"/>
            <w:tcBorders>
              <w:bottom w:val="nil"/>
            </w:tcBorders>
            <w:vAlign w:val="center"/>
          </w:tcPr>
          <w:p w14:paraId="386138B1">
            <w:pPr>
              <w:pStyle w:val="8"/>
              <w:jc w:val="center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2435</w:t>
            </w:r>
          </w:p>
        </w:tc>
        <w:tc>
          <w:tcPr>
            <w:tcW w:w="131" w:type="pct"/>
            <w:vMerge w:val="restart"/>
            <w:tcBorders>
              <w:bottom w:val="nil"/>
            </w:tcBorders>
            <w:vAlign w:val="center"/>
          </w:tcPr>
          <w:p w14:paraId="585AB175">
            <w:pPr>
              <w:pStyle w:val="8"/>
              <w:jc w:val="center"/>
              <w:rPr>
                <w:spacing w:val="8"/>
                <w:sz w:val="20"/>
                <w:szCs w:val="20"/>
              </w:rPr>
            </w:pPr>
          </w:p>
        </w:tc>
        <w:tc>
          <w:tcPr>
            <w:tcW w:w="146" w:type="pct"/>
            <w:vMerge w:val="restart"/>
            <w:tcBorders>
              <w:bottom w:val="nil"/>
            </w:tcBorders>
            <w:vAlign w:val="center"/>
          </w:tcPr>
          <w:p w14:paraId="02A545DD">
            <w:pPr>
              <w:jc w:val="center"/>
            </w:pPr>
          </w:p>
        </w:tc>
      </w:tr>
      <w:tr w14:paraId="3C6E9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0" w:type="pct"/>
            <w:vMerge w:val="continue"/>
            <w:tcBorders>
              <w:top w:val="nil"/>
              <w:bottom w:val="nil"/>
            </w:tcBorders>
            <w:vAlign w:val="center"/>
          </w:tcPr>
          <w:p w14:paraId="6D340AD1">
            <w:pPr>
              <w:jc w:val="center"/>
            </w:pPr>
          </w:p>
        </w:tc>
        <w:tc>
          <w:tcPr>
            <w:tcW w:w="245" w:type="pct"/>
            <w:vMerge w:val="continue"/>
            <w:tcBorders>
              <w:top w:val="nil"/>
              <w:bottom w:val="nil"/>
            </w:tcBorders>
            <w:vAlign w:val="center"/>
          </w:tcPr>
          <w:p w14:paraId="5A5CCF1C">
            <w:pPr>
              <w:jc w:val="center"/>
            </w:pPr>
          </w:p>
        </w:tc>
        <w:tc>
          <w:tcPr>
            <w:tcW w:w="164" w:type="pct"/>
            <w:vMerge w:val="continue"/>
            <w:tcBorders>
              <w:top w:val="nil"/>
              <w:bottom w:val="nil"/>
            </w:tcBorders>
            <w:vAlign w:val="center"/>
          </w:tcPr>
          <w:p w14:paraId="3F035913">
            <w:pPr>
              <w:jc w:val="center"/>
            </w:pPr>
          </w:p>
        </w:tc>
        <w:tc>
          <w:tcPr>
            <w:tcW w:w="164" w:type="pct"/>
            <w:vMerge w:val="continue"/>
            <w:tcBorders>
              <w:top w:val="nil"/>
              <w:bottom w:val="nil"/>
            </w:tcBorders>
            <w:vAlign w:val="center"/>
          </w:tcPr>
          <w:p w14:paraId="6088B814">
            <w:pPr>
              <w:jc w:val="center"/>
            </w:pPr>
          </w:p>
        </w:tc>
        <w:tc>
          <w:tcPr>
            <w:tcW w:w="1089" w:type="pct"/>
            <w:vAlign w:val="center"/>
          </w:tcPr>
          <w:p w14:paraId="4809DD1A">
            <w:pPr>
              <w:pStyle w:val="8"/>
              <w:jc w:val="center"/>
              <w:rPr>
                <w:lang w:eastAsia="zh-CN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企业与吉林农业大学合作，利用功能豆制品新技术新工艺，购买转化专利 2 项，并研发低糖低脂低嘌呤新型豆制品产品2个，并于2026年度10月投产，实现精深加工产品占比从零提升至 20%以上，提升精深产品附加值。</w:t>
            </w:r>
          </w:p>
        </w:tc>
        <w:tc>
          <w:tcPr>
            <w:tcW w:w="386" w:type="pct"/>
            <w:vAlign w:val="center"/>
          </w:tcPr>
          <w:p w14:paraId="598E537E">
            <w:pPr>
              <w:pStyle w:val="8"/>
              <w:spacing w:before="306" w:line="225" w:lineRule="auto"/>
              <w:ind w:left="363"/>
              <w:jc w:val="center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延伸产业链条</w:t>
            </w:r>
          </w:p>
        </w:tc>
        <w:tc>
          <w:tcPr>
            <w:tcW w:w="1755" w:type="pct"/>
            <w:vAlign w:val="center"/>
          </w:tcPr>
          <w:p w14:paraId="35F02A02">
            <w:pPr>
              <w:pStyle w:val="8"/>
              <w:jc w:val="center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企业与吉林农业大学合作，利用功能豆制品新技术新工艺，购买转化专利 2 项，并研发低糖低脂低嘌呤新型豆制品产品2个，并于2026年度10月投产。</w:t>
            </w:r>
          </w:p>
        </w:tc>
        <w:tc>
          <w:tcPr>
            <w:tcW w:w="171" w:type="pct"/>
            <w:vAlign w:val="center"/>
          </w:tcPr>
          <w:p w14:paraId="531D9D87">
            <w:pPr>
              <w:spacing w:line="309" w:lineRule="auto"/>
              <w:jc w:val="center"/>
              <w:rPr>
                <w:lang w:eastAsia="zh-CN"/>
              </w:rPr>
            </w:pPr>
          </w:p>
          <w:p w14:paraId="5AAD0720">
            <w:pPr>
              <w:spacing w:before="46" w:line="229" w:lineRule="auto"/>
              <w:ind w:left="144"/>
              <w:jc w:val="center"/>
              <w:rPr>
                <w:rFonts w:hint="eastAsia" w:ascii="楷体" w:hAnsi="楷体" w:eastAsia="楷体" w:cs="楷体"/>
                <w:sz w:val="14"/>
                <w:szCs w:val="14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6"/>
                <w:sz w:val="14"/>
                <w:szCs w:val="14"/>
                <w:lang w:eastAsia="zh-CN"/>
              </w:rPr>
              <w:t>300</w:t>
            </w:r>
          </w:p>
        </w:tc>
        <w:tc>
          <w:tcPr>
            <w:tcW w:w="200" w:type="pct"/>
            <w:vMerge w:val="continue"/>
            <w:tcBorders>
              <w:top w:val="nil"/>
              <w:bottom w:val="nil"/>
            </w:tcBorders>
            <w:vAlign w:val="center"/>
          </w:tcPr>
          <w:p w14:paraId="67D3D5FC">
            <w:pPr>
              <w:jc w:val="center"/>
            </w:pPr>
          </w:p>
        </w:tc>
        <w:tc>
          <w:tcPr>
            <w:tcW w:w="235" w:type="pct"/>
            <w:vMerge w:val="continue"/>
            <w:tcBorders>
              <w:top w:val="nil"/>
              <w:bottom w:val="nil"/>
            </w:tcBorders>
            <w:vAlign w:val="center"/>
          </w:tcPr>
          <w:p w14:paraId="6C5A68A3">
            <w:pPr>
              <w:jc w:val="center"/>
            </w:pPr>
          </w:p>
        </w:tc>
        <w:tc>
          <w:tcPr>
            <w:tcW w:w="164" w:type="pct"/>
            <w:vMerge w:val="continue"/>
            <w:tcBorders>
              <w:top w:val="nil"/>
              <w:bottom w:val="nil"/>
            </w:tcBorders>
            <w:vAlign w:val="center"/>
          </w:tcPr>
          <w:p w14:paraId="630C1121">
            <w:pPr>
              <w:jc w:val="center"/>
            </w:pPr>
          </w:p>
        </w:tc>
        <w:tc>
          <w:tcPr>
            <w:tcW w:w="131" w:type="pct"/>
            <w:vMerge w:val="continue"/>
            <w:tcBorders>
              <w:top w:val="nil"/>
              <w:bottom w:val="nil"/>
            </w:tcBorders>
            <w:vAlign w:val="center"/>
          </w:tcPr>
          <w:p w14:paraId="1BAE014D">
            <w:pPr>
              <w:jc w:val="center"/>
            </w:pPr>
          </w:p>
        </w:tc>
        <w:tc>
          <w:tcPr>
            <w:tcW w:w="146" w:type="pct"/>
            <w:vMerge w:val="continue"/>
            <w:tcBorders>
              <w:top w:val="nil"/>
              <w:bottom w:val="nil"/>
            </w:tcBorders>
            <w:vAlign w:val="center"/>
          </w:tcPr>
          <w:p w14:paraId="2C8DA464">
            <w:pPr>
              <w:jc w:val="center"/>
            </w:pPr>
          </w:p>
        </w:tc>
      </w:tr>
      <w:tr w14:paraId="55CA5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0" w:type="pct"/>
            <w:vMerge w:val="continue"/>
            <w:tcBorders>
              <w:top w:val="nil"/>
            </w:tcBorders>
            <w:vAlign w:val="center"/>
          </w:tcPr>
          <w:p w14:paraId="540A9FD0">
            <w:pPr>
              <w:jc w:val="center"/>
            </w:pPr>
          </w:p>
        </w:tc>
        <w:tc>
          <w:tcPr>
            <w:tcW w:w="245" w:type="pct"/>
            <w:vMerge w:val="continue"/>
            <w:tcBorders>
              <w:top w:val="nil"/>
            </w:tcBorders>
            <w:vAlign w:val="center"/>
          </w:tcPr>
          <w:p w14:paraId="566CE389">
            <w:pPr>
              <w:jc w:val="center"/>
            </w:pPr>
          </w:p>
        </w:tc>
        <w:tc>
          <w:tcPr>
            <w:tcW w:w="164" w:type="pct"/>
            <w:vMerge w:val="continue"/>
            <w:tcBorders>
              <w:top w:val="nil"/>
            </w:tcBorders>
            <w:vAlign w:val="center"/>
          </w:tcPr>
          <w:p w14:paraId="058BF399">
            <w:pPr>
              <w:jc w:val="center"/>
            </w:pPr>
          </w:p>
        </w:tc>
        <w:tc>
          <w:tcPr>
            <w:tcW w:w="164" w:type="pct"/>
            <w:vMerge w:val="continue"/>
            <w:tcBorders>
              <w:top w:val="nil"/>
            </w:tcBorders>
            <w:vAlign w:val="center"/>
          </w:tcPr>
          <w:p w14:paraId="3E0885EF">
            <w:pPr>
              <w:jc w:val="center"/>
            </w:pPr>
          </w:p>
        </w:tc>
        <w:tc>
          <w:tcPr>
            <w:tcW w:w="1089" w:type="pct"/>
            <w:vAlign w:val="center"/>
          </w:tcPr>
          <w:p w14:paraId="78444496">
            <w:pPr>
              <w:pStyle w:val="8"/>
              <w:jc w:val="center"/>
              <w:rPr>
                <w:lang w:eastAsia="zh-CN"/>
              </w:rPr>
            </w:pPr>
            <w:r>
              <w:rPr>
                <w:spacing w:val="8"/>
                <w:sz w:val="20"/>
                <w:szCs w:val="20"/>
              </w:rPr>
              <w:t>经销商数量由12个拓展至26个，线上销售份额提升至总销售额的8%。</w:t>
            </w:r>
          </w:p>
        </w:tc>
        <w:tc>
          <w:tcPr>
            <w:tcW w:w="386" w:type="pct"/>
            <w:vAlign w:val="center"/>
          </w:tcPr>
          <w:p w14:paraId="3D5A92B0">
            <w:pPr>
              <w:jc w:val="center"/>
              <w:rPr>
                <w:lang w:eastAsia="zh-CN"/>
              </w:rPr>
            </w:pPr>
          </w:p>
          <w:p w14:paraId="1B2B67E0">
            <w:pPr>
              <w:pStyle w:val="8"/>
              <w:spacing w:before="65" w:line="225" w:lineRule="auto"/>
              <w:ind w:left="363"/>
              <w:jc w:val="center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升级营销模式</w:t>
            </w:r>
          </w:p>
        </w:tc>
        <w:tc>
          <w:tcPr>
            <w:tcW w:w="1755" w:type="pct"/>
            <w:vAlign w:val="center"/>
          </w:tcPr>
          <w:p w14:paraId="78296C31">
            <w:pPr>
              <w:pStyle w:val="8"/>
              <w:jc w:val="center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1.电商平台入驻：在抖音、快手、天猫、京东四大平台分别完成旗舰店的入驻与运营。</w:t>
            </w:r>
            <w:r>
              <w:rPr>
                <w:spacing w:val="8"/>
                <w:sz w:val="20"/>
                <w:szCs w:val="20"/>
              </w:rPr>
              <w:br w:type="textWrapping"/>
            </w:r>
            <w:r>
              <w:rPr>
                <w:rFonts w:hint="eastAsia"/>
                <w:spacing w:val="8"/>
                <w:sz w:val="20"/>
                <w:szCs w:val="20"/>
              </w:rPr>
              <w:t>2.电商店铺视觉设计：完成电商平台旗舰店视觉形象升级，建立统一且具有辨识度的主图、详情页和店铺设计风格，提升消费者信任感和购买意愿。</w:t>
            </w:r>
            <w:r>
              <w:rPr>
                <w:spacing w:val="8"/>
                <w:sz w:val="20"/>
                <w:szCs w:val="20"/>
              </w:rPr>
              <w:br w:type="textWrapping"/>
            </w:r>
            <w:r>
              <w:rPr>
                <w:rFonts w:hint="eastAsia"/>
                <w:spacing w:val="8"/>
                <w:sz w:val="20"/>
                <w:szCs w:val="20"/>
              </w:rPr>
              <w:t>3.</w:t>
            </w:r>
            <w:r>
              <w:rPr>
                <w:spacing w:val="8"/>
                <w:sz w:val="20"/>
                <w:szCs w:val="20"/>
              </w:rPr>
              <w:t>直播及短视频与货架电商推流</w:t>
            </w:r>
            <w:r>
              <w:rPr>
                <w:rFonts w:hint="eastAsia"/>
                <w:spacing w:val="8"/>
                <w:sz w:val="20"/>
                <w:szCs w:val="20"/>
              </w:rPr>
              <w:t>：</w:t>
            </w:r>
            <w:r>
              <w:rPr>
                <w:spacing w:val="8"/>
                <w:sz w:val="20"/>
                <w:szCs w:val="20"/>
              </w:rPr>
              <w:t>直播推流：每周开展5场直播，全年累计60场</w:t>
            </w:r>
            <w:r>
              <w:rPr>
                <w:rFonts w:hint="eastAsia"/>
                <w:spacing w:val="8"/>
                <w:sz w:val="20"/>
                <w:szCs w:val="20"/>
              </w:rPr>
              <w:t>；</w:t>
            </w:r>
            <w:r>
              <w:rPr>
                <w:spacing w:val="8"/>
                <w:sz w:val="20"/>
                <w:szCs w:val="20"/>
              </w:rPr>
              <w:t>短视频推流：每周投放2次短视频推广，全年累计20次</w:t>
            </w:r>
            <w:r>
              <w:rPr>
                <w:rFonts w:hint="eastAsia"/>
                <w:spacing w:val="8"/>
                <w:sz w:val="20"/>
                <w:szCs w:val="20"/>
              </w:rPr>
              <w:t>；</w:t>
            </w:r>
            <w:r>
              <w:rPr>
                <w:spacing w:val="8"/>
                <w:sz w:val="20"/>
                <w:szCs w:val="20"/>
              </w:rPr>
              <w:t>货架电商推广：在淘宝、京东等平台开展店铺及单品推广，每周5次、全年60次</w:t>
            </w:r>
            <w:r>
              <w:rPr>
                <w:rFonts w:hint="eastAsia"/>
                <w:spacing w:val="8"/>
                <w:sz w:val="20"/>
                <w:szCs w:val="20"/>
              </w:rPr>
              <w:t>。</w:t>
            </w:r>
            <w:r>
              <w:rPr>
                <w:spacing w:val="8"/>
                <w:sz w:val="20"/>
                <w:szCs w:val="20"/>
              </w:rPr>
              <w:br w:type="textWrapping"/>
            </w:r>
            <w:r>
              <w:rPr>
                <w:rFonts w:hint="eastAsia"/>
                <w:spacing w:val="8"/>
                <w:sz w:val="20"/>
                <w:szCs w:val="20"/>
              </w:rPr>
              <w:t>4.专业团队服务费：</w:t>
            </w:r>
            <w:r>
              <w:rPr>
                <w:spacing w:val="8"/>
                <w:sz w:val="20"/>
                <w:szCs w:val="20"/>
              </w:rPr>
              <w:t>直播团队技术服务</w:t>
            </w:r>
            <w:r>
              <w:rPr>
                <w:rFonts w:hint="eastAsia"/>
                <w:spacing w:val="8"/>
                <w:sz w:val="20"/>
                <w:szCs w:val="20"/>
              </w:rPr>
              <w:t>；</w:t>
            </w:r>
            <w:r>
              <w:rPr>
                <w:spacing w:val="8"/>
                <w:sz w:val="20"/>
                <w:szCs w:val="20"/>
              </w:rPr>
              <w:t>短视频与信息流内容服务</w:t>
            </w:r>
            <w:r>
              <w:rPr>
                <w:rFonts w:hint="eastAsia"/>
                <w:spacing w:val="8"/>
                <w:sz w:val="20"/>
                <w:szCs w:val="20"/>
              </w:rPr>
              <w:t>；</w:t>
            </w:r>
            <w:r>
              <w:rPr>
                <w:spacing w:val="8"/>
                <w:sz w:val="20"/>
                <w:szCs w:val="20"/>
              </w:rPr>
              <w:t>电商视觉设计服务</w:t>
            </w:r>
            <w:r>
              <w:rPr>
                <w:rFonts w:hint="eastAsia"/>
                <w:spacing w:val="8"/>
                <w:sz w:val="20"/>
                <w:szCs w:val="20"/>
              </w:rPr>
              <w:t>。</w:t>
            </w:r>
            <w:r>
              <w:rPr>
                <w:spacing w:val="8"/>
                <w:sz w:val="20"/>
                <w:szCs w:val="20"/>
              </w:rPr>
              <w:br w:type="textWrapping"/>
            </w:r>
            <w:r>
              <w:rPr>
                <w:rFonts w:hint="eastAsia"/>
                <w:spacing w:val="8"/>
                <w:sz w:val="20"/>
                <w:szCs w:val="20"/>
              </w:rPr>
              <w:t>5.购置5</w:t>
            </w:r>
            <w:r>
              <w:rPr>
                <w:spacing w:val="8"/>
                <w:sz w:val="20"/>
                <w:szCs w:val="20"/>
              </w:rPr>
              <w:t>00平方米现场直播间</w:t>
            </w:r>
            <w:r>
              <w:rPr>
                <w:rFonts w:hint="eastAsia"/>
                <w:spacing w:val="8"/>
                <w:sz w:val="20"/>
                <w:szCs w:val="20"/>
              </w:rPr>
              <w:t>设备：</w:t>
            </w:r>
            <w:r>
              <w:rPr>
                <w:spacing w:val="8"/>
                <w:sz w:val="20"/>
                <w:szCs w:val="20"/>
              </w:rPr>
              <w:t>结合企业生产实景，利用“一二产融合”项目优势</w:t>
            </w:r>
            <w:r>
              <w:rPr>
                <w:rFonts w:hint="eastAsia"/>
                <w:spacing w:val="8"/>
                <w:sz w:val="20"/>
                <w:szCs w:val="20"/>
              </w:rPr>
              <w:t>，</w:t>
            </w:r>
            <w:r>
              <w:rPr>
                <w:spacing w:val="8"/>
                <w:sz w:val="20"/>
                <w:szCs w:val="20"/>
              </w:rPr>
              <w:t>直播一体机触屏（55寸）</w:t>
            </w:r>
            <w:r>
              <w:rPr>
                <w:rFonts w:hint="eastAsia"/>
                <w:spacing w:val="8"/>
                <w:sz w:val="20"/>
                <w:szCs w:val="20"/>
              </w:rPr>
              <w:t>，</w:t>
            </w:r>
            <w:r>
              <w:rPr>
                <w:spacing w:val="8"/>
                <w:sz w:val="20"/>
                <w:szCs w:val="20"/>
              </w:rPr>
              <w:t>分屏显示器（三星32寸）</w:t>
            </w:r>
            <w:r>
              <w:rPr>
                <w:rFonts w:hint="eastAsia"/>
                <w:spacing w:val="8"/>
                <w:sz w:val="20"/>
                <w:szCs w:val="20"/>
              </w:rPr>
              <w:t>，</w:t>
            </w:r>
            <w:r>
              <w:rPr>
                <w:spacing w:val="8"/>
                <w:sz w:val="20"/>
                <w:szCs w:val="20"/>
              </w:rPr>
              <w:t>直播切换台（Blackmagic）</w:t>
            </w:r>
            <w:r>
              <w:rPr>
                <w:rFonts w:hint="eastAsia"/>
                <w:spacing w:val="8"/>
                <w:sz w:val="20"/>
                <w:szCs w:val="20"/>
              </w:rPr>
              <w:t>，</w:t>
            </w:r>
            <w:r>
              <w:rPr>
                <w:spacing w:val="8"/>
                <w:sz w:val="20"/>
                <w:szCs w:val="20"/>
              </w:rPr>
              <w:t>华为Pura 80 Ultra手机</w:t>
            </w:r>
            <w:r>
              <w:rPr>
                <w:rFonts w:hint="eastAsia"/>
                <w:spacing w:val="8"/>
                <w:sz w:val="20"/>
                <w:szCs w:val="20"/>
              </w:rPr>
              <w:t>等。</w:t>
            </w:r>
          </w:p>
        </w:tc>
        <w:tc>
          <w:tcPr>
            <w:tcW w:w="171" w:type="pct"/>
            <w:vAlign w:val="center"/>
          </w:tcPr>
          <w:p w14:paraId="4C78FBB4">
            <w:pPr>
              <w:spacing w:line="310" w:lineRule="auto"/>
              <w:jc w:val="center"/>
              <w:rPr>
                <w:lang w:eastAsia="zh-CN"/>
              </w:rPr>
            </w:pPr>
          </w:p>
          <w:p w14:paraId="261CBB1A">
            <w:pPr>
              <w:spacing w:before="45" w:line="229" w:lineRule="auto"/>
              <w:ind w:left="144"/>
              <w:jc w:val="center"/>
              <w:rPr>
                <w:rFonts w:hint="eastAsia" w:ascii="楷体" w:hAnsi="楷体" w:eastAsia="楷体" w:cs="楷体"/>
                <w:sz w:val="14"/>
                <w:szCs w:val="14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6"/>
                <w:sz w:val="14"/>
                <w:szCs w:val="14"/>
                <w:lang w:eastAsia="zh-CN"/>
              </w:rPr>
              <w:t>89</w:t>
            </w:r>
          </w:p>
        </w:tc>
        <w:tc>
          <w:tcPr>
            <w:tcW w:w="200" w:type="pct"/>
            <w:vMerge w:val="continue"/>
            <w:tcBorders>
              <w:top w:val="nil"/>
            </w:tcBorders>
            <w:vAlign w:val="center"/>
          </w:tcPr>
          <w:p w14:paraId="26AC46D8">
            <w:pPr>
              <w:jc w:val="center"/>
            </w:pPr>
          </w:p>
        </w:tc>
        <w:tc>
          <w:tcPr>
            <w:tcW w:w="235" w:type="pct"/>
            <w:vMerge w:val="continue"/>
            <w:tcBorders>
              <w:top w:val="nil"/>
            </w:tcBorders>
            <w:vAlign w:val="center"/>
          </w:tcPr>
          <w:p w14:paraId="12042241">
            <w:pPr>
              <w:jc w:val="center"/>
            </w:pPr>
          </w:p>
        </w:tc>
        <w:tc>
          <w:tcPr>
            <w:tcW w:w="164" w:type="pct"/>
            <w:vMerge w:val="continue"/>
            <w:tcBorders>
              <w:top w:val="nil"/>
            </w:tcBorders>
            <w:vAlign w:val="center"/>
          </w:tcPr>
          <w:p w14:paraId="6FD58FC9">
            <w:pPr>
              <w:jc w:val="center"/>
            </w:pPr>
          </w:p>
        </w:tc>
        <w:tc>
          <w:tcPr>
            <w:tcW w:w="131" w:type="pct"/>
            <w:vMerge w:val="continue"/>
            <w:tcBorders>
              <w:top w:val="nil"/>
            </w:tcBorders>
            <w:vAlign w:val="center"/>
          </w:tcPr>
          <w:p w14:paraId="138C160D">
            <w:pPr>
              <w:jc w:val="center"/>
            </w:pPr>
          </w:p>
        </w:tc>
        <w:tc>
          <w:tcPr>
            <w:tcW w:w="146" w:type="pct"/>
            <w:vMerge w:val="continue"/>
            <w:tcBorders>
              <w:top w:val="nil"/>
            </w:tcBorders>
            <w:vAlign w:val="center"/>
          </w:tcPr>
          <w:p w14:paraId="3460AD8A">
            <w:pPr>
              <w:jc w:val="center"/>
            </w:pPr>
          </w:p>
        </w:tc>
      </w:tr>
    </w:tbl>
    <w:p w14:paraId="72B7B470">
      <w:pPr>
        <w:spacing w:before="97" w:line="290" w:lineRule="exact"/>
        <w:ind w:left="114"/>
        <w:rPr>
          <w:rFonts w:ascii="楷体" w:hAnsi="楷体" w:eastAsia="楷体" w:cs="楷体"/>
          <w:sz w:val="22"/>
          <w:szCs w:val="22"/>
          <w:lang w:eastAsia="zh-CN"/>
        </w:rPr>
      </w:pPr>
      <w:r>
        <w:rPr>
          <w:rFonts w:ascii="楷体" w:hAnsi="楷体" w:eastAsia="楷体" w:cs="楷体"/>
          <w:spacing w:val="-4"/>
          <w:position w:val="1"/>
          <w:sz w:val="22"/>
          <w:szCs w:val="22"/>
          <w:lang w:eastAsia="zh-CN"/>
        </w:rPr>
        <w:t>说明：</w:t>
      </w:r>
      <w:r>
        <w:rPr>
          <w:rFonts w:ascii="Times New Roman" w:hAnsi="Times New Roman" w:eastAsia="Times New Roman" w:cs="Times New Roman"/>
          <w:spacing w:val="-4"/>
          <w:position w:val="1"/>
          <w:sz w:val="22"/>
          <w:szCs w:val="22"/>
          <w:lang w:eastAsia="zh-CN"/>
        </w:rPr>
        <w:t>1.</w:t>
      </w:r>
      <w:r>
        <w:rPr>
          <w:rFonts w:ascii="楷体" w:hAnsi="楷体" w:eastAsia="楷体" w:cs="楷体"/>
          <w:spacing w:val="-4"/>
          <w:position w:val="1"/>
          <w:sz w:val="22"/>
          <w:szCs w:val="22"/>
          <w:lang w:eastAsia="zh-CN"/>
        </w:rPr>
        <w:t>企业性质：包括国有及国有控股企业、民营企业等。</w:t>
      </w:r>
    </w:p>
    <w:p w14:paraId="6CA65A89">
      <w:pPr>
        <w:spacing w:before="110" w:line="290" w:lineRule="exact"/>
        <w:ind w:left="776"/>
        <w:rPr>
          <w:rFonts w:ascii="楷体" w:hAnsi="楷体" w:eastAsia="楷体" w:cs="楷体"/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2"/>
          <w:szCs w:val="22"/>
          <w:lang w:eastAsia="zh-CN"/>
        </w:rPr>
        <w:t>2.</w:t>
      </w:r>
      <w:r>
        <w:rPr>
          <w:rFonts w:ascii="楷体" w:hAnsi="楷体" w:eastAsia="楷体" w:cs="楷体"/>
          <w:spacing w:val="-2"/>
          <w:position w:val="1"/>
          <w:sz w:val="22"/>
          <w:szCs w:val="22"/>
          <w:lang w:eastAsia="zh-CN"/>
        </w:rPr>
        <w:t>隶属关系：包括央属、省属、市属、县属。同时标明隶属单位名称，如省属</w:t>
      </w:r>
      <w:r>
        <w:rPr>
          <w:rFonts w:ascii="Times New Roman" w:hAnsi="Times New Roman" w:eastAsia="Times New Roman" w:cs="Times New Roman"/>
          <w:spacing w:val="-2"/>
          <w:position w:val="1"/>
          <w:sz w:val="22"/>
          <w:szCs w:val="22"/>
          <w:lang w:eastAsia="zh-CN"/>
        </w:rPr>
        <w:t>/</w:t>
      </w:r>
      <w:r>
        <w:rPr>
          <w:rFonts w:ascii="楷体" w:hAnsi="楷体" w:eastAsia="楷体" w:cs="楷体"/>
          <w:spacing w:val="-2"/>
          <w:position w:val="1"/>
          <w:sz w:val="22"/>
          <w:szCs w:val="22"/>
          <w:lang w:eastAsia="zh-CN"/>
        </w:rPr>
        <w:t>省农业发展集团</w:t>
      </w:r>
      <w:r>
        <w:rPr>
          <w:rFonts w:ascii="楷体" w:hAnsi="楷体" w:eastAsia="楷体" w:cs="楷体"/>
          <w:spacing w:val="-3"/>
          <w:position w:val="1"/>
          <w:sz w:val="22"/>
          <w:szCs w:val="22"/>
          <w:lang w:eastAsia="zh-CN"/>
        </w:rPr>
        <w:t>有限公司。</w:t>
      </w:r>
    </w:p>
    <w:p w14:paraId="6B15066E">
      <w:pPr>
        <w:spacing w:before="111" w:line="290" w:lineRule="exact"/>
        <w:ind w:left="781"/>
        <w:rPr>
          <w:rFonts w:ascii="楷体" w:hAnsi="楷体" w:eastAsia="楷体" w:cs="楷体"/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2"/>
          <w:szCs w:val="22"/>
          <w:lang w:eastAsia="zh-CN"/>
        </w:rPr>
        <w:t>3.</w:t>
      </w:r>
      <w:r>
        <w:rPr>
          <w:rFonts w:ascii="楷体" w:hAnsi="楷体" w:eastAsia="楷体" w:cs="楷体"/>
          <w:spacing w:val="-1"/>
          <w:position w:val="1"/>
          <w:sz w:val="22"/>
          <w:szCs w:val="22"/>
          <w:lang w:eastAsia="zh-CN"/>
        </w:rPr>
        <w:t>绩效目标：参照附件</w:t>
      </w:r>
      <w:r>
        <w:rPr>
          <w:rFonts w:ascii="Times New Roman" w:hAnsi="Times New Roman" w:eastAsia="Times New Roman" w:cs="Times New Roman"/>
          <w:spacing w:val="-1"/>
          <w:position w:val="1"/>
          <w:sz w:val="22"/>
          <w:szCs w:val="22"/>
          <w:lang w:eastAsia="zh-CN"/>
        </w:rPr>
        <w:t>1</w:t>
      </w:r>
      <w:r>
        <w:rPr>
          <w:rFonts w:ascii="楷体" w:hAnsi="楷体" w:eastAsia="楷体" w:cs="楷体"/>
          <w:spacing w:val="-1"/>
          <w:position w:val="1"/>
          <w:sz w:val="22"/>
          <w:szCs w:val="22"/>
          <w:lang w:eastAsia="zh-CN"/>
        </w:rPr>
        <w:t>《申报书》第一部分（四）项目</w:t>
      </w:r>
      <w:r>
        <w:rPr>
          <w:rFonts w:ascii="楷体" w:hAnsi="楷体" w:eastAsia="楷体" w:cs="楷体"/>
          <w:spacing w:val="-2"/>
          <w:position w:val="1"/>
          <w:sz w:val="22"/>
          <w:szCs w:val="22"/>
          <w:lang w:eastAsia="zh-CN"/>
        </w:rPr>
        <w:t>建设可行性和必要性分析</w:t>
      </w:r>
      <w:r>
        <w:rPr>
          <w:rFonts w:ascii="Times New Roman" w:hAnsi="Times New Roman" w:eastAsia="Times New Roman" w:cs="Times New Roman"/>
          <w:spacing w:val="-2"/>
          <w:position w:val="1"/>
          <w:sz w:val="22"/>
          <w:szCs w:val="22"/>
          <w:lang w:eastAsia="zh-CN"/>
        </w:rPr>
        <w:t>2</w:t>
      </w:r>
      <w:r>
        <w:rPr>
          <w:rFonts w:ascii="楷体" w:hAnsi="楷体" w:eastAsia="楷体" w:cs="楷体"/>
          <w:spacing w:val="-2"/>
          <w:position w:val="1"/>
          <w:sz w:val="22"/>
          <w:szCs w:val="22"/>
          <w:lang w:eastAsia="zh-CN"/>
        </w:rPr>
        <w:t>，简要量化填写。</w:t>
      </w:r>
    </w:p>
    <w:p w14:paraId="21D8464C">
      <w:pPr>
        <w:spacing w:before="108" w:line="291" w:lineRule="auto"/>
        <w:ind w:left="116" w:right="2" w:firstLine="659"/>
        <w:rPr>
          <w:rFonts w:ascii="楷体" w:hAnsi="楷体" w:eastAsia="楷体" w:cs="楷体"/>
          <w:sz w:val="22"/>
          <w:szCs w:val="22"/>
          <w:lang w:eastAsia="zh-CN"/>
        </w:rPr>
        <w:sectPr>
          <w:footerReference r:id="rId3" w:type="default"/>
          <w:pgSz w:w="16839" w:h="11906"/>
          <w:pgMar w:top="400" w:right="1471" w:bottom="1528" w:left="1474" w:header="0" w:footer="1213" w:gutter="0"/>
          <w:cols w:space="720" w:num="1"/>
        </w:sectPr>
      </w:pPr>
      <w:r>
        <w:rPr>
          <w:rFonts w:ascii="Times New Roman" w:hAnsi="Times New Roman" w:eastAsia="Times New Roman" w:cs="Times New Roman"/>
          <w:spacing w:val="-1"/>
          <w:sz w:val="22"/>
          <w:szCs w:val="22"/>
          <w:lang w:eastAsia="zh-CN"/>
        </w:rPr>
        <w:t>4.</w:t>
      </w:r>
      <w:r>
        <w:rPr>
          <w:rFonts w:ascii="楷体" w:hAnsi="楷体" w:eastAsia="楷体" w:cs="楷体"/>
          <w:spacing w:val="-1"/>
          <w:sz w:val="22"/>
          <w:szCs w:val="22"/>
          <w:lang w:eastAsia="zh-CN"/>
        </w:rPr>
        <w:t>建设内容：按照申报书中《</w:t>
      </w:r>
      <w:r>
        <w:rPr>
          <w:rFonts w:ascii="Times New Roman" w:hAnsi="Times New Roman" w:eastAsia="Times New Roman" w:cs="Times New Roman"/>
          <w:spacing w:val="-1"/>
          <w:sz w:val="22"/>
          <w:szCs w:val="22"/>
          <w:lang w:eastAsia="zh-CN"/>
        </w:rPr>
        <w:t xml:space="preserve">2026 </w:t>
      </w:r>
      <w:r>
        <w:rPr>
          <w:rFonts w:ascii="楷体" w:hAnsi="楷体" w:eastAsia="楷体" w:cs="楷体"/>
          <w:spacing w:val="-1"/>
          <w:sz w:val="22"/>
          <w:szCs w:val="22"/>
          <w:lang w:eastAsia="zh-CN"/>
        </w:rPr>
        <w:t>年度粮食第一、第二产融合发展项目建设内容申报表》附件</w:t>
      </w:r>
      <w:r>
        <w:rPr>
          <w:rFonts w:ascii="Times New Roman" w:hAnsi="Times New Roman" w:eastAsia="Times New Roman" w:cs="Times New Roman"/>
          <w:spacing w:val="-1"/>
          <w:sz w:val="22"/>
          <w:szCs w:val="22"/>
          <w:lang w:eastAsia="zh-CN"/>
        </w:rPr>
        <w:t>1-2</w:t>
      </w:r>
      <w:r>
        <w:rPr>
          <w:rFonts w:ascii="楷体" w:hAnsi="楷体" w:eastAsia="楷体" w:cs="楷体"/>
          <w:spacing w:val="-1"/>
          <w:sz w:val="22"/>
          <w:szCs w:val="22"/>
          <w:lang w:eastAsia="zh-CN"/>
        </w:rPr>
        <w:t>，汇总填写主要内容、规模、技术工艺及主要参数等</w:t>
      </w:r>
    </w:p>
    <w:p w14:paraId="357CA012">
      <w:pPr>
        <w:tabs>
          <w:tab w:val="left" w:pos="2601"/>
        </w:tabs>
        <w:rPr>
          <w:rFonts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63AA2">
    <w:pPr>
      <w:spacing w:line="304" w:lineRule="exact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position w:val="1"/>
        <w:sz w:val="24"/>
        <w:szCs w:val="24"/>
      </w:rPr>
      <w:t>— 21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325DF"/>
    <w:rsid w:val="00376B36"/>
    <w:rsid w:val="004701E9"/>
    <w:rsid w:val="008F4542"/>
    <w:rsid w:val="00AE07E8"/>
    <w:rsid w:val="00E65F6A"/>
    <w:rsid w:val="00F2671A"/>
    <w:rsid w:val="084242EE"/>
    <w:rsid w:val="4EF325DF"/>
    <w:rsid w:val="50A77A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9">
    <w:name w:val="页眉 Char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1573</Words>
  <Characters>1691</Characters>
  <Lines>13</Lines>
  <Paragraphs>3</Paragraphs>
  <TotalTime>20</TotalTime>
  <ScaleCrop>false</ScaleCrop>
  <LinksUpToDate>false</LinksUpToDate>
  <CharactersWithSpaces>1755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2025-09-08T06:32:00Z</dcterms:created>
  <dc:creator>好颜ོ</dc:creator>
  <cp:lastModifiedBy>Administrator</cp:lastModifiedBy>
  <cp:lastPrinted>2025-09-09T06:08:00Z</cp:lastPrinted>
  <dcterms:modified xsi:type="dcterms:W3CDTF">2025-09-09T07:11:19Z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FD1EA0A3FB4D48DFA4BA1F4497F02AB1_13</vt:lpwstr>
  </property>
  <property fmtid="{D5CDD505-2E9C-101B-9397-08002B2CF9AE}" pid="4" name="KSOTemplateDocerSaveRecord">
    <vt:lpwstr>eyJoZGlkIjoiYzIxZDI4Y2ViZWIzODMyMGM1Njk4MzhjZTViODY1OTEiLCJ1c2VySWQiOiIzNTMxNjIzMDQifQ==</vt:lpwstr>
  </property>
</Properties>
</file>