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52599">
      <w:pPr>
        <w:pStyle w:val="2"/>
        <w:jc w:val="left"/>
        <w:rPr>
          <w:rFonts w:ascii="方正公文小标宋" w:eastAsia="方正公文小标宋"/>
          <w:b w:val="0"/>
          <w:sz w:val="84"/>
          <w:szCs w:val="84"/>
          <w:lang w:eastAsia="zh-CN"/>
        </w:rPr>
      </w:pPr>
      <w:bookmarkStart w:id="12" w:name="_GoBack"/>
      <w:bookmarkEnd w:id="12"/>
    </w:p>
    <w:p w14:paraId="644E5721">
      <w:pPr>
        <w:pStyle w:val="2"/>
        <w:jc w:val="left"/>
        <w:rPr>
          <w:rFonts w:ascii="方正公文小标宋" w:eastAsia="方正公文小标宋"/>
          <w:b w:val="0"/>
          <w:sz w:val="84"/>
          <w:szCs w:val="84"/>
          <w:lang w:eastAsia="zh-CN"/>
        </w:rPr>
      </w:pPr>
    </w:p>
    <w:p w14:paraId="176F742F">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吉林省长春市榆树市闵家镇人民</w:t>
      </w:r>
    </w:p>
    <w:p w14:paraId="652C7A2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14C286DC">
      <w:pPr>
        <w:rPr>
          <w:rFonts w:ascii="方正公文小标宋" w:eastAsia="方正公文小标宋"/>
          <w:sz w:val="84"/>
          <w:szCs w:val="84"/>
          <w:lang w:eastAsia="zh-CN"/>
        </w:rPr>
      </w:pPr>
    </w:p>
    <w:p w14:paraId="13515DEF">
      <w:pPr>
        <w:rPr>
          <w:rFonts w:ascii="方正公文小标宋" w:eastAsia="方正公文小标宋"/>
          <w:sz w:val="84"/>
          <w:szCs w:val="84"/>
          <w:lang w:eastAsia="zh-CN"/>
        </w:rPr>
      </w:pPr>
    </w:p>
    <w:p w14:paraId="0F826729">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289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4863B09A">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76A16446">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_Toc27545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_Toc27545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62FDA49E">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_Toc25283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_Toc25283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609B9A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_Toc12466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_Toc12466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6925AD08">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7A12A41F">
      <w:pPr>
        <w:rPr>
          <w:lang w:eastAsia="zh-CN"/>
        </w:rPr>
      </w:pPr>
    </w:p>
    <w:p w14:paraId="58DDD160">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D2E44BA">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27545"/>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A29D96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A02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3570">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FDB7AB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EA4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02D12A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F06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D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41AA3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71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D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2F045FB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31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0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00A6B12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5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8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662DEE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04D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6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26D2F3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B2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26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73711C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4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7B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2A1C03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50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7A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5F4028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3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0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34507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2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AD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778A6A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7C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6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65CE72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37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EA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落实全面从严治党、党风廉政建设责任制，落实中央八项规定精神，开展党风廉政建设、党规党纪学习及警示教育，推进反腐败工作</w:t>
            </w:r>
          </w:p>
        </w:tc>
      </w:tr>
      <w:tr w14:paraId="12B287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37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E3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296BC0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9D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B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0D7E36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1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EE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53BB4A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1B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3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78D3C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4C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4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483C45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E3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20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44EDD6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13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64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636272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E2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E2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65D2AF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64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DB0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01684A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B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CE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0D92D2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BA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7B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3803B1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B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2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00AE9C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C0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38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2A099CC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86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D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2A84C77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13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2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5C0DE1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FA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A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47F638C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778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11F536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3E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D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6FF45F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3C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CF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71FEFF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2D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2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7FC3A0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AD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74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9DB0C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E6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D7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6BED7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FE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63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3DB6F9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1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D5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做好传统玉米酿酒厂服务保障工作，助力企业建设和后续发展</w:t>
            </w:r>
          </w:p>
        </w:tc>
      </w:tr>
      <w:tr w14:paraId="2D7A324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1DEE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7CA4DE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0A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E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3C1E2E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04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D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6F5499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A2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BC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A2379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6CA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9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2849F8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D4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5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5729D33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74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F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BCEC2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B7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0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1F9A26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E8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A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48B15C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0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94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1A242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DF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9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36F44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12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E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29AA19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26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8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AFED5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A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D6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41FA4B8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277B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4A6448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64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1A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79C4288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B8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3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2536190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37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1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200B41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36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9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73643C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65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C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11B6902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0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5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116E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4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F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6636F4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26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D4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1B5FF42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29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A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526FDB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9A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5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7687D7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1B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E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797AA8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EE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8E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23293C5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F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1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75C24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D4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4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593588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C7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E4A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799B5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2D0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039233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2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9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61250E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F8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A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7F66B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6B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4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51BA3D3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FD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F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37CEF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3A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2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27AFD0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9F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C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20A1DD5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55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0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69C021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79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3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09F99E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89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FF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03F1DB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67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51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0F14B0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2F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4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08EAE1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6C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8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770BFA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6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C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16644D0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C4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98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058933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FD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F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6E78D3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2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96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783831B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423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8CE74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3D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C6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246761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61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70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21A4C5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0A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45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69A380E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7FD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370976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802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A6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DC8FE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E7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B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43A6CE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4D9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1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741B76F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8F09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458E56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DA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9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27EC3D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1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CA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646163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25F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2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590D6A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54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54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2F8A80A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C041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11916C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C38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5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70E378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DA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E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459097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C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C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401997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F1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CF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733CC7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A9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7D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1C3BE1A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A32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2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5E08316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112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01CB84C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4E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CF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6EDDB05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DF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0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022210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3E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7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02C91C4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5BD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十一、文化和旅游（6项）</w:t>
            </w:r>
          </w:p>
        </w:tc>
      </w:tr>
      <w:tr w14:paraId="578C3D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D20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5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33FA1D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6C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7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4230D8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BF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5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2DFA1A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4C5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2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530526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36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4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2A9CE0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61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7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做好法藏寺风景区的建设工作，推进乡村旅游经济发展</w:t>
            </w:r>
          </w:p>
        </w:tc>
      </w:tr>
      <w:tr w14:paraId="0EA61F6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935E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691D3F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A5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B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50B9AF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6E2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F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1E0676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9E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3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7D311EC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4A16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559CB2B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B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9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657F30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E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75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E675B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59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DB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585C8F7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78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E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764C06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52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E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25FCD0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D5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7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239724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A1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05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72D49F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DF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C3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4C8E81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C5C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8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6FA1CD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B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6E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35D9DE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75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B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3A1B7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82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E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6D554D3A">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25283"/>
      <w:bookmarkStart w:id="6" w:name="_Toc172077552"/>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3F04844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785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20C6">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41D9">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B6BC">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EE1E">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1A8BED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50CD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7C70ADD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22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C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D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C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B8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1D0AA4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E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7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4F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7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7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1645CC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48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8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B3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E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8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11D868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0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0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0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C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C7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2B08E72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E4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D9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3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B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53E853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27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E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7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F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E8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331E9A7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93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6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8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28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F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637AC6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58E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1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40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1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A5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49EC7A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60B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F1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9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2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8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3506F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09A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E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C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E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0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222D64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5F0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F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EB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01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0A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414E9F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53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58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97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7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F3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029E6E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7C431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二、经济发展（9项）</w:t>
            </w:r>
          </w:p>
        </w:tc>
      </w:tr>
      <w:tr w14:paraId="654C3E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F8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7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C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EB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B2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2DD894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7D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C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6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A4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5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6998FF9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0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5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3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3B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A5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3B9F20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96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F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D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AF4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F1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72FF6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5E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3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7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9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4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7C9D39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328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7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7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B7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12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E33F6C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0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01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1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8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1D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604A6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70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E4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F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43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A30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B4B5ED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6C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7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B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64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C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083E110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15F3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72CBB3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3E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7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6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2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C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727E21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4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6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0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8B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F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396BE4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C6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AC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B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6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1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203A99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28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AF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8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C6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D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74CA1B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F0D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B8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54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4C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6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6175B22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B5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E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51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30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CB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5750A55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B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5F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8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5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B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1473B3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DF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8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5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A8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D7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C3C10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60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37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2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0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9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7403D4E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78E0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12B23A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45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83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9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B2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B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6CD5DE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5A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4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4D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8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8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7944A14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69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E0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F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C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6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3A094A2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D5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D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F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F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4C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61BFC7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FA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9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07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B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5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05F9D3E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96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65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02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F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58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613ED55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EE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E6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EF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4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99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07F37C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AE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81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1A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9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2F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29C3D0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7F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77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铁路护路工作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B6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6B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聘任铁路护路联防队员，做好爱路护路宣传工作；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市交通运输局负责：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协调推进辖区铁路沿线安全环境治理工作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6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1.协助联防护路队员处理铁路沿线安全隐患；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2.负责爱路护路宣传工作</w:t>
            </w:r>
          </w:p>
        </w:tc>
      </w:tr>
      <w:tr w14:paraId="709A31D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D91F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7732AC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27F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3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E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E1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0C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6E8494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77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7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9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D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2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4B804C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4A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F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9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0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08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001B5EA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A1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3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C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C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D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4D8A858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6CE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CE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6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9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2D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33F0A3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16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44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C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B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3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33C90C9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196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20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5D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15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CC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38A7DF1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D4E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82E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9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0E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39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015BB5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F1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D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06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F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1D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33B9956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3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F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3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4A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0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5CCC8A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31B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0F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A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0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A3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811837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D7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B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D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5E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B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31F149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F2C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3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C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64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A5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24D0D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19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1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BD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EC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5A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29EF03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880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F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0C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7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D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37A674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4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5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12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6D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B3140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31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4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00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F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B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23F666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60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A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0D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2D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3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59178B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BE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0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A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F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37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20F625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F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3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58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74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4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28A072F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9DE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4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A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7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9D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29C8875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C3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67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8D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054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143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3B52A8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AD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3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33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03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3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4A7CF7E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C0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2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5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6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D8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461FECE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01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E4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9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6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E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53AA9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32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39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4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E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8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4CAB545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5F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1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1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D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6B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7E3E001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85B1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7D35D3B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8DD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54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9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8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C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14ADE2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E5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9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A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3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6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1657A2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6409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A74556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9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00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1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2E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B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798B8A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D29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0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5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2E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A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2362CD0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C2F7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4D1C5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0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FE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08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9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FF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02E0013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8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0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8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71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E0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55327D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BD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1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DD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1B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5E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166A0AD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94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23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9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8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83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3420E81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E0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8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06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0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0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4D00787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8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6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A1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91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7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73385B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89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DC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814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1F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0179D8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DDA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D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E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D2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D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3D8FE6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E0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CC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5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F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E5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6CCB2BB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41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CE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07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93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C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15B15B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FB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A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6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6C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D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DE627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D5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54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94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37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B9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3DC4E8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33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E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4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E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60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5E62E7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1E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D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5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F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E9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63B82A8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AB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C4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3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BA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4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460CF90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D6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6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3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3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7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3B53C6E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3D9D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5907A8A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A4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2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0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1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F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6DD5FD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4E1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E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A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9F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E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2ABACB0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B64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73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C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A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82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5E617F5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4C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A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9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B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F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1DDD2913">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C3C64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5F7024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2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5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8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59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1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B3DA6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B3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F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C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C2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F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40A0148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1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C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46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7F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8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3371B73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FB85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CE683D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A95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8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B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D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27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55E2DD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3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9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75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22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F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6FB05FB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99DC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DBCB9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A1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50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4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E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35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560C598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15D75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DB8E59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92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38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0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B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4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5EE123B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E0F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1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27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31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5C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4DAF96E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BB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B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F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2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3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1E8593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65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D9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37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5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A4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041BD23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A1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CC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F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6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5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12F2BC9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30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F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6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BC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B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1E33620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0CE02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7CA2B6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E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9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6C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7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162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3D2269F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9A0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2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D5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65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0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590CDE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89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2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5D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7B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3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6954CD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958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AD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D5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7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62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71141D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977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4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F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E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D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456AD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FE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5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D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F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F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FC4F116">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6CEE9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638B34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82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80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3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A7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D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771BE2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F00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ED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1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08E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7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003C085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D27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30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6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D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5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52E9EA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2FA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0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DC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0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07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49FC4DB9">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12466"/>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DC1578B">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450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A3B6">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861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6E05B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B18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7BC9F3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48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D7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44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7655473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28773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626502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13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5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8B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1A2ECA6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8EB3A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10541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92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85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C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E1CFD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5E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DE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1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4F8671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5A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5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7C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2C06FB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60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8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B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F700B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6E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0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A85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350CC3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BB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F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F1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0B3880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85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6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26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A457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1F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4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8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0EC1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E6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6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87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FA86D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4F5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2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E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A1E3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88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DE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6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018F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EB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1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6B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9FD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D5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0C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FA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852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1D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8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B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4265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45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2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0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47434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B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5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7F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68D67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AB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4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B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4137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3A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BE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B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7A492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5A0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2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B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F455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C8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14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58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7660B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9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95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3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49E4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DC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13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F2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4F09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53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A6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6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2E12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8E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74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1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AC8A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F32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E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7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0D123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231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3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8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86F97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A8AB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1DAEF1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36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12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80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E5B0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BB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CD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A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CDA0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22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C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C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CE42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5C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0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B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CCCE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BA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F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A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CD9E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64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1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7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03B16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5C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F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8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79E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1C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8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8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08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72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E3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0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A947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6F89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1B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44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C987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63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6C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F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49AE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6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2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B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9563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58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D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3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32C8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6E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1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47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C2E3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F1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2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4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5C07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04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A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8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6CCB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4D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C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6C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C48F4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CDA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30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E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CFEB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80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6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0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9752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66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9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7F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CE18D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00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A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B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AD1E0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4A0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A8E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38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A9B5A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AE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3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7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F18FA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C1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6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4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7613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2A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A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A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C8955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02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2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F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6293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3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44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4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D9D4F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6A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3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C77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E665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F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B4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0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540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F85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4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99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40870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1F4B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71B32F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B6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7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6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1F706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BA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0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0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4DA0F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DF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4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3BFFA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E29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319D12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E9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002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8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C842A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2F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8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E8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294D2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3C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B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0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E7149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8D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3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3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8C00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0A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7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B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28E7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38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0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3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5D6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7C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6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0D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AF00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75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C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A7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88DEF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F3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8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3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225F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EC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4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42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E63B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8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5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F7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7B7B20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24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2A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8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05A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68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4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62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5EA32F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42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C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2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CE52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84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1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7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18716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55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F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2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3E2C627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08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71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BD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AC8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43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E0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9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FAA6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1B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0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53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2165A8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7D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0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9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F77A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36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1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CA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57492A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39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1C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68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AD61E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E1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F6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6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7C4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11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F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3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681BD0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97A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1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D2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DB33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46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7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B7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FD1C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A8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E8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3A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BDAC1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63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1F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2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695A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B3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C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6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AA56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F1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0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5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CC68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F0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52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2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E184C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70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1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31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06BF7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F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F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D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6B852A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63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43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AE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364FE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31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EF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9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F0B29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36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D9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49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B7C4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47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E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9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D9C2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08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6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2E9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C947F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BD8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0C52AD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79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1E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5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CE8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CF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6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B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FD00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42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C01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B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16D00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5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2C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2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2691C90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485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7205B6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D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7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E6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5A0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AE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9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7A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0BEC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64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E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38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160E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53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E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A4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9E1A26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DA6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0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2D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1C66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303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A0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3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98EE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14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8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F1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7479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86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2A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A3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F33FF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7B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BB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F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5D27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D0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2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C5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A580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AA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D85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4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409FDC7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D75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DC8FC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66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3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8E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2FC1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49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777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9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CA75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36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3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29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386C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9E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0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5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58C2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C3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8F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48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1885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DB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E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C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BC1920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7B83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072D39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8C6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5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A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42FC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3B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F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D9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6AF8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8F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4A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6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EB22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C5F9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18B37C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EE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8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74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054A14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E2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6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6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7917D2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D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16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3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0C27A67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552A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5EF702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18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862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48D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49B07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25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3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78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B938F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FD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D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6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2DF67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E6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9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2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86502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E0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50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F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72625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4A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4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A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F37D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FC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7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62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C30967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54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D7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8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866DC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B0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8A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B9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07FA7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04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A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9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449C5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26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2F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B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02AD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10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10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3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7C3A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3F7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49401D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C4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9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E7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43E8FA49">
      <w:pPr>
        <w:pStyle w:val="3"/>
        <w:spacing w:before="0" w:after="0" w:line="240" w:lineRule="auto"/>
        <w:jc w:val="center"/>
        <w:rPr>
          <w:rFonts w:ascii="Times New Roman" w:hAnsi="Times New Roman" w:eastAsia="方正小标宋_GBK" w:cs="Times New Roman"/>
          <w:color w:val="auto"/>
          <w:spacing w:val="7"/>
          <w:lang w:eastAsia="zh-CN"/>
        </w:rPr>
      </w:pPr>
    </w:p>
    <w:p w14:paraId="1A5BE8B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9D1E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74581062">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74581062">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57EB">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5E660F9"/>
    <w:rsid w:val="295D1869"/>
    <w:rsid w:val="35BF18F3"/>
    <w:rsid w:val="60D600C6"/>
    <w:rsid w:val="71192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46844</Words>
  <Characters>48392</Characters>
  <Lines>1</Lines>
  <Paragraphs>1</Paragraphs>
  <TotalTime>1</TotalTime>
  <ScaleCrop>false</ScaleCrop>
  <LinksUpToDate>false</LinksUpToDate>
  <CharactersWithSpaces>48520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2025-10-30T07:46:47Z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eyJoZGlkIjoiZTY0ZThlMDYyMDM1MWEwMTdiNTRkYzg5NWI3MWI5ZjgifQ==</vt:lpwstr>
  </property>
  <property fmtid="{D5CDD505-2E9C-101B-9397-08002B2CF9AE}" pid="3" name="KSOProductBuildVer">
    <vt:lpwstr>2052-12.1.0.23125</vt:lpwstr>
  </property>
  <property fmtid="{D5CDD505-2E9C-101B-9397-08002B2CF9AE}" pid="4" name="ICV">
    <vt:lpwstr>2BC7C3DB2E4A4240B718A80226D8A8A8_13</vt:lpwstr>
  </property>
</Properties>
</file>