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ADE8E">
      <w:pPr>
        <w:pStyle w:val="2"/>
        <w:jc w:val="left"/>
        <w:rPr>
          <w:rFonts w:ascii="方正公文小标宋" w:eastAsia="方正公文小标宋"/>
          <w:b w:val="0"/>
          <w:sz w:val="84"/>
          <w:szCs w:val="84"/>
          <w:lang w:eastAsia="zh-CN"/>
        </w:rPr>
      </w:pPr>
    </w:p>
    <w:p w14:paraId="3CB9CE3D">
      <w:pPr>
        <w:pStyle w:val="2"/>
        <w:jc w:val="left"/>
        <w:rPr>
          <w:rFonts w:ascii="方正公文小标宋" w:eastAsia="方正公文小标宋"/>
          <w:b w:val="0"/>
          <w:sz w:val="84"/>
          <w:szCs w:val="84"/>
          <w:lang w:eastAsia="zh-CN"/>
        </w:rPr>
      </w:pPr>
    </w:p>
    <w:p w14:paraId="03F81246">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r>
        <w:rPr>
          <w:rFonts w:hint="eastAsia" w:ascii="Times New Roman" w:hAnsi="方正公文小标宋" w:eastAsia="方正公文小标宋"/>
          <w:snapToGrid/>
          <w:kern w:val="0"/>
          <w:sz w:val="84"/>
          <w:szCs w:val="84"/>
        </w:rPr>
        <w:t>吉林省长春市榆树市大坡镇人民</w:t>
      </w:r>
    </w:p>
    <w:p w14:paraId="72DC029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bookmarkEnd w:id="12"/>
    <w:p w14:paraId="234733C5">
      <w:pPr>
        <w:rPr>
          <w:rFonts w:ascii="方正公文小标宋" w:eastAsia="方正公文小标宋"/>
          <w:sz w:val="84"/>
          <w:szCs w:val="84"/>
          <w:lang w:eastAsia="zh-CN"/>
        </w:rPr>
      </w:pPr>
    </w:p>
    <w:p w14:paraId="490FF815">
      <w:pPr>
        <w:rPr>
          <w:rFonts w:ascii="方正公文小标宋" w:eastAsia="方正公文小标宋"/>
          <w:sz w:val="84"/>
          <w:szCs w:val="84"/>
          <w:lang w:eastAsia="zh-CN"/>
        </w:rPr>
      </w:pPr>
    </w:p>
    <w:p w14:paraId="158F5CF1">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6202"/>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261D4D15">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0DFF2C92">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_Toc10173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_Toc10173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617FA687">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_Toc1902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_Toc1902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6AC86DB2">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_Toc14655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_Toc14655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2DC745D9">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2D2C3B17">
      <w:pPr>
        <w:rPr>
          <w:lang w:eastAsia="zh-CN"/>
        </w:rPr>
      </w:pPr>
    </w:p>
    <w:p w14:paraId="4916371A">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5F3BA3C8">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949"/>
      <w:bookmarkStart w:id="2" w:name="_Toc10173"/>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13CC740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EBCC">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4ABF">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1634A21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CE3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207CA9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19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7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4FD2CF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45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6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56C074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C4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1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3709DE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4F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9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426A54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51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E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325CB8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C8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A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00BC86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7B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B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7FF3EA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11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E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476FA0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E7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D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2E2508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51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0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07000E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1D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6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1939C9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89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C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50E3A2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9F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4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5595D6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AC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7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41DF64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63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6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3BDA8C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0C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D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56F7EA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14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F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5BC6DC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0B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4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0A3136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86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2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512C4D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7E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7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3BF6E9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73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5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0EF1FE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10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B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2F77D2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15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1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373FE1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29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C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74F343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F2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0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16F8D6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02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A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015B99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0A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2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30F33F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78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7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037746C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BF0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52E952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5B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4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37EE4D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E4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F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5C8D26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2D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D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2959AC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42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A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213760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8A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4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568A57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EB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6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11F449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7E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4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做好水稻加工企业服务保障工作，助力企业建设和后续发展</w:t>
            </w:r>
          </w:p>
        </w:tc>
      </w:tr>
      <w:tr w14:paraId="4A19273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D92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3A7A64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7A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8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752EBF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36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C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5AC347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32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4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6ED143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73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C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56AC6F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CA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7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374259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0A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9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53F988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8F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5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6EF945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17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4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026E3E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69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2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7E0F06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CE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D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136D31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AD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7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431806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E1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8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747D6B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72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9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01E21AE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514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30A67F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C5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B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217A5D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4E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F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209E62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28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A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66FF52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D0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F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0A35DD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54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3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56BE22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A7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6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13A6B1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06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A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302B7D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E8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E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5551E8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30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9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4069FB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EA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7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1C579B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5C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4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30B25A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2B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8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375CA5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E5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1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585321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10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F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057C19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DF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B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154665B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79E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五、乡村振兴（17项）</w:t>
            </w:r>
          </w:p>
        </w:tc>
      </w:tr>
      <w:tr w14:paraId="0C8D97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81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8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742882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57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3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2EBD23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F7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F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60A55A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50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7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1EF461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D1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E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6BC437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87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6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6A6F39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95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7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136A46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2B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F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44A25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38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F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511FE1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AE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C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4DE3AF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69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D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2B97B5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E4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0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05A50A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A1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9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563398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8C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4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74F335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4C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C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5C1B95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EB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F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58588B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46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A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发展本地特色产业，做好棚膜经济发展</w:t>
            </w:r>
          </w:p>
        </w:tc>
      </w:tr>
      <w:tr w14:paraId="59E1B15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8FA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744F3D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51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4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089F23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9F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A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040C8D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C5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E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4CF043D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33C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1DA8A8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5A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2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782890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6B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7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3C27DE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08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7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022C436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0E3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14156A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05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F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3653B3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27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D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545E15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14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5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730D2D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35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5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72A1B14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AE5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5547B6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D9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0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590E61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F7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E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1772CE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41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9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724660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17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6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3D4111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52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1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2B8C6C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05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F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0AA9A29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8CB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559C3A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4E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A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1900E9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C7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0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004E59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FB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0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3FE3310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153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十一、文化和旅游（7项）</w:t>
            </w:r>
          </w:p>
        </w:tc>
      </w:tr>
      <w:tr w14:paraId="5D8392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98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4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2AF5F2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C0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8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2E9888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03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F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7D8BDE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3E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0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1561D5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F0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A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38D0D3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AF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F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保护徐家窑博物馆东北传统烧雕技艺，做好非遗工艺保护、宣传、推广和传承等工作</w:t>
            </w:r>
          </w:p>
        </w:tc>
      </w:tr>
      <w:tr w14:paraId="0EBAF6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2F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9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做好大坡古城遗址保护工作</w:t>
            </w:r>
          </w:p>
        </w:tc>
      </w:tr>
      <w:tr w14:paraId="2823677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4E2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670AB1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FC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0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0F9067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E2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5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6BA017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E8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B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762B562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BBB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1FE1B7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32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0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28818F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47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D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365E24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DC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F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647AA8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89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5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327AD0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6E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F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5C8B56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B9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C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3E27A6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D7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9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7163B1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23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8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0547B6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B0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6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680737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7B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6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7921AD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89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C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417AAC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51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4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0B927861">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172077950"/>
      <w:bookmarkStart w:id="7" w:name="_Toc190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0F0B99F">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DC9A">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1DA2">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A1E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D11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F65E">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4416270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B2C8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5DF17B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45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F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D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A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1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2B41D5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37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5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9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7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1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4A640D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E0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4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3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96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7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766D49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93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7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2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C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C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7DA820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C6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8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4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E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F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326730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83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7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9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4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7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3F2106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E7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A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D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7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7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509117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1C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5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9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2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A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73D3F5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35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C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7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8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B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4CDE02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3E0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0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7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3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1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7EDC06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1E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5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2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7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E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493795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AE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B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2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9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4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7DD64B3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61BA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383BE8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E0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7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E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0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C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0D1F50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D6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B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A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5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0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2707F4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C4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D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C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4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1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080426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34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0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D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4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4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71738F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7A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4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E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F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B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47573D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2F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9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0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1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8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4D2C4A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07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F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3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9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0C8371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1D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9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B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E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D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737DA3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4B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D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A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4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2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7D1A4C6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5691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5AD31D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51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C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A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2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3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38ADD8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F3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E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2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F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8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0881DA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55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4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4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E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D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2C52ED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DA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8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F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7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A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258C16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C0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E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A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3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9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26DB76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78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33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6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0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B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7CB88E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55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F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2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4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F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292572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79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A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1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7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F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23C2E8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EF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B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4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2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E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23D346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B6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B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3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D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7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124F591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44BA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172F62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79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E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4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D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B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643BFF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03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A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6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F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3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4A0F24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B7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2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6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6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8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158FFD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4B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C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2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2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E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0A4C08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94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B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D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C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1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456991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D7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C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0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3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9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6AE5FA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AD3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5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C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0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D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38AF32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F4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1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C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8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3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09412C2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69D5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4DFEEB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C4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0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0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6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E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4DF68A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C8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A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C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F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8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2F47F4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BF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F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9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F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8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670018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EB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2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8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3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C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509C52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2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F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1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0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4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4EF536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51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F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1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1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D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50A9D2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6A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E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5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1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7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5A6BC9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43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B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E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A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8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3DD5E3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31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8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9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D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7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385E3C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2A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F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5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C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4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7F8BAC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05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D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1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4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F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54C98B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0B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2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5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F3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7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5A0F68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3F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6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2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6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D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6581B5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A3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3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1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7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5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455070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A2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2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4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E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8F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487268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7F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8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B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A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2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5C2C63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48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6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6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9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4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4DDEA6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DF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7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2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4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2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024282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C4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1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A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B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2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3A514F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CD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B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3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5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6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164755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E6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4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2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F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E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40DA64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BE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C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1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1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1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6FD32D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E0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2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6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9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7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7D9456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60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2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6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B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6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40A6A9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2B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C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3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8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1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0DA107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32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9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3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5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E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3DCD12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F7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0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2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9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9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1AAD222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3B20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545853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42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A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9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D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A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3BB0F1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F7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9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C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4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0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17456A9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C719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567BE2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2B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0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7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4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0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33D8F6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BE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3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C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9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1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3DD31F5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D8DD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24CAEC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9E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E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9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0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A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4A2CDB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1E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3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8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E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A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523CBD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54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7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9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6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6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38CC98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FF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8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1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4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8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44405B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14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4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2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6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A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1D3A5E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65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C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F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B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8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4DDE3A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3D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0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6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F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8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4F0866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30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6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0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D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9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66BCBA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CA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9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A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3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F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0B3458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26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7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3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F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9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7732F6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50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6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9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2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2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56CD18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33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3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B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2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5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006F25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71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3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9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0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D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7D47D7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D8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4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1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D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A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02D9F9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D6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9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1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3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4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7E37D2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FA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4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0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D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9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75A0FB6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79F3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478034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56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7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8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D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A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7892A5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4B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F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B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E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C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5C5359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D3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1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E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1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7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236CB1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FF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D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C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F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1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0B917E0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1DFB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68F354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80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E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E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D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B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123E46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E0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F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7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D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E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314996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7C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0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2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F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9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591CBCA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74D0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十一、交通运输（3项）</w:t>
            </w:r>
          </w:p>
        </w:tc>
      </w:tr>
      <w:tr w14:paraId="5E8F32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07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8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E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A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5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3E8B46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58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6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B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2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E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29D179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4D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D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水上救助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B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
市交通运输局
市公安局等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F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各部门接到报告后，第一时间对救助工作进行领导和协调，组织、动员各方力量积极参与救助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A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1.发现船舶、浮动设施遇险，或者收到求救信号后，将有关情况及时上报；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2.组织人员参与救援</w:t>
            </w:r>
          </w:p>
        </w:tc>
      </w:tr>
      <w:tr w14:paraId="72C3821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42CC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08A31D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ED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3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7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A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F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0237EF8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4976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2EFEDF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B6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C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6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3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8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39EF7B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93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C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5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F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8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52239F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E9F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B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2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D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2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72872D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86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9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0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1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4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2E824C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53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1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B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0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6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5CCE72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09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E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5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3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5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6A35571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DE64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0BAB2A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6B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7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2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B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9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B97E3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A7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6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9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9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5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5D7B2E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49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A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7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3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5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0C8673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A0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0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2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2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0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17EE16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0D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9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7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2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1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7136FE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36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5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D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E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0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1BAB0DD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EBDB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0C2EF3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72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7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9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0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E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28A7B4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5F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9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1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B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F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35E9B7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19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4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E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4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1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6BC2CF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61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6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1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4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D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79D35906">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4655"/>
      <w:bookmarkStart w:id="9" w:name="_Toc172077553"/>
      <w:bookmarkStart w:id="10" w:name="_Toc172077951"/>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81EA795">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E160">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B4A9">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1621">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9755D3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38B25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50F50C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8F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5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F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2C69F41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6FA2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67899D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F1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6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F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0FDCD81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0018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2F851E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2E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2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6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CDE2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6A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4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1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718904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44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4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B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0BFD70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2F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8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0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103C71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C4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1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C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4B13A4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90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8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7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59406F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70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5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C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0E98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69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E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4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2201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C5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9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0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C858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87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9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C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BD9A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42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5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5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F086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25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7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8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607C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6F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0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8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E5E0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31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0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3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B2E3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59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C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4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D0C5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9C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1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0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8D2A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51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9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4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2C39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82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1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2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322B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68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6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E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D1C0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F1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7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C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4D7A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DF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6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C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85D9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02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7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A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62EE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23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E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8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D6A7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8C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9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6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87D7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89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8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8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4A67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2F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5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F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C4F01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7FE7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2DC6D3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40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1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F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3787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C4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3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7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D676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59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5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0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D14C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26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C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A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3C9F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67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1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2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B96E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C2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4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2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10DF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C7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7D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1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A5EE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3F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D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0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4953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B3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4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D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1E14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FF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A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8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66BF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0E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3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3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8169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15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0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1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FB2D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F4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8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3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6D5B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BE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E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7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839C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6B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2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A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CCFD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7B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0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7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748E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6A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6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D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C3CB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9F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6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4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05A0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A5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5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3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B084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BC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9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F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FC75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CA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3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5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960B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CE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A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6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2F73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34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9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1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FE6A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5D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F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C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AA22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AE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A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E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557E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1D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1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A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0377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D1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C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9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8229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34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D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9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10F5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36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E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9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F38D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A7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1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C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5B2AA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4B9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63B70E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4F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9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E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F3286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94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8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3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7A662E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43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2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A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424A1FE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2BAE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5FE15A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2B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D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C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8409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81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C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0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F15E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49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B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B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696F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FC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4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D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68E9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FD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4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6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082A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39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3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5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D41A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FC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9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28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5127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52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A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3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E37E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29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C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D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42FD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E1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A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0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8F6D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FF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8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D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53B72A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AA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C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2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16B7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1A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3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B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0018D8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5C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2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C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B9A8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1D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B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D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18DE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DA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8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0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177820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BB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7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5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7777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8E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9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7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539B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B7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2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7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50B3E2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2E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6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2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C5AE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65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1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3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4BD6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B5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0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A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8DC4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B0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F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4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32DF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C4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D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1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1DA621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CF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F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8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E9A0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93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6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C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ECCF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11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F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9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BE9E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6F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E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1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51BF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E0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8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D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298B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AA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F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9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1695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10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2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4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7247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4E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1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0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D2CD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D9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E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D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759A2D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24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0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0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52E04E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C7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D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C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A992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C5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B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6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031F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C0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5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4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F92E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A5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D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E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51BC2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BC3E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6899C4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FA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5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5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6F58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74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6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7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60F5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A7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1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A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66DE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9C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6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F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013E707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B290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3F637D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87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6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F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2E29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5E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6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1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F7E5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9F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8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6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CDAB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48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7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B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FF04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84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A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D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9BC8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CE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6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A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B5B6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97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E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5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1944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AB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0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2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848A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05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9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C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F9C0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39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8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8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8A27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E2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8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F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10DBAEC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18C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533D77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88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00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8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9839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31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4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A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E35F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BA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1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A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63DA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53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B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1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B51F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35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3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B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E0DC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8F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9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0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C55A8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1FD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4A88AE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77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7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F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4E2D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5B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7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B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A827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3D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4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0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369F0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C46A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7041F3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46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2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8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47D4B6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0E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E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F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5A9B15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06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3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B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53419AF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9CD9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30915F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47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7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2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A505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B0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7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1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2A91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E1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F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1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0EF5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17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1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C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09ED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C5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D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0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FE60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5C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2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A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0294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E7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2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6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CD8B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B1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B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0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30EA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F8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A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E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FA11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B1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8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7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CD28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E8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1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8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CB90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0E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2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E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4AF6A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7350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585CE8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A5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A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E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47F47D3E">
      <w:pPr>
        <w:pStyle w:val="3"/>
        <w:spacing w:before="0" w:after="0" w:line="240" w:lineRule="auto"/>
        <w:jc w:val="center"/>
        <w:rPr>
          <w:rFonts w:ascii="Times New Roman" w:hAnsi="Times New Roman" w:eastAsia="方正小标宋_GBK" w:cs="Times New Roman"/>
          <w:color w:val="auto"/>
          <w:spacing w:val="7"/>
          <w:lang w:eastAsia="zh-CN"/>
        </w:rPr>
      </w:pPr>
    </w:p>
    <w:p w14:paraId="34C139A7">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9F3D3">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BCF2DBF">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BCF2DBF">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FF4D5">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34F76230"/>
    <w:rsid w:val="5DDA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47042</Words>
  <Characters>48605</Characters>
  <Lines>1</Lines>
  <Paragraphs>1</Paragraphs>
  <TotalTime>0</TotalTime>
  <ScaleCrop>false</ScaleCrop>
  <LinksUpToDate>false</LinksUpToDate>
  <CharactersWithSpaces>48733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2025-09-26T08:11:27Z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ACC77CEC73CB41A0A9ED7F4C481B6FBD_13</vt:lpwstr>
  </property>
</Properties>
</file>