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b/>
          <w:bCs/>
          <w:color w:val="000000"/>
          <w:sz w:val="24"/>
          <w:szCs w:val="24"/>
        </w:rPr>
      </w:pPr>
      <w:bookmarkStart w:id="0" w:name="_GoBack"/>
      <w:r>
        <w:rPr>
          <w:rFonts w:hint="eastAsia" w:ascii="宋体" w:hAnsi="宋体"/>
          <w:b/>
          <w:bCs/>
          <w:color w:val="000000"/>
          <w:sz w:val="24"/>
          <w:szCs w:val="24"/>
        </w:rPr>
        <w:t>表</w:t>
      </w:r>
      <w:r>
        <w:rPr>
          <w:rFonts w:ascii="宋体" w:hAnsi="宋体"/>
          <w:b/>
          <w:bCs/>
          <w:color w:val="000000"/>
          <w:sz w:val="24"/>
          <w:szCs w:val="24"/>
        </w:rPr>
        <w:t>2</w:t>
      </w:r>
      <w:bookmarkEnd w:id="0"/>
      <w:r>
        <w:rPr>
          <w:rFonts w:hint="eastAsia" w:ascii="宋体" w:hAnsi="宋体"/>
          <w:b/>
          <w:bCs/>
          <w:color w:val="000000"/>
          <w:sz w:val="24"/>
          <w:szCs w:val="24"/>
        </w:rPr>
        <w:t xml:space="preserve">  榆树市城区地下空间建设</w:t>
      </w:r>
      <w:r>
        <w:rPr>
          <w:rFonts w:ascii="宋体" w:hAnsi="宋体"/>
          <w:b/>
          <w:bCs/>
          <w:color w:val="000000"/>
          <w:sz w:val="24"/>
          <w:szCs w:val="24"/>
        </w:rPr>
        <w:t>用地使用权</w:t>
      </w:r>
      <w:r>
        <w:rPr>
          <w:rFonts w:hint="eastAsia" w:ascii="宋体" w:hAnsi="宋体"/>
          <w:b/>
          <w:bCs/>
          <w:color w:val="000000"/>
          <w:sz w:val="24"/>
          <w:szCs w:val="24"/>
        </w:rPr>
        <w:t>基准地价表</w:t>
      </w:r>
    </w:p>
    <w:p>
      <w:pPr>
        <w:spacing w:line="500" w:lineRule="exact"/>
        <w:ind w:right="90"/>
        <w:jc w:val="right"/>
        <w:rPr>
          <w:rFonts w:ascii="宋体" w:hAnsi="宋体"/>
          <w:b/>
          <w:bCs/>
          <w:color w:val="000000"/>
          <w:sz w:val="18"/>
          <w:szCs w:val="18"/>
        </w:rPr>
      </w:pPr>
      <w:r>
        <w:rPr>
          <w:rFonts w:hint="eastAsia" w:ascii="宋体" w:hAnsi="宋体"/>
          <w:color w:val="000000"/>
          <w:sz w:val="18"/>
          <w:szCs w:val="18"/>
        </w:rPr>
        <w:t>单位：元/平方米</w:t>
      </w:r>
    </w:p>
    <w:tbl>
      <w:tblPr>
        <w:tblStyle w:val="1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1153"/>
        <w:gridCol w:w="1394"/>
        <w:gridCol w:w="2325"/>
        <w:gridCol w:w="2092"/>
        <w:gridCol w:w="2325"/>
        <w:gridCol w:w="2560"/>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用途</w:t>
            </w:r>
          </w:p>
        </w:tc>
        <w:tc>
          <w:tcPr>
            <w:tcW w:w="139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级别</w:t>
            </w:r>
          </w:p>
        </w:tc>
        <w:tc>
          <w:tcPr>
            <w:tcW w:w="232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基准地价</w:t>
            </w:r>
          </w:p>
        </w:tc>
        <w:tc>
          <w:tcPr>
            <w:tcW w:w="209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纯收益</w:t>
            </w:r>
          </w:p>
        </w:tc>
        <w:tc>
          <w:tcPr>
            <w:tcW w:w="7210" w:type="dxa"/>
            <w:gridSpan w:val="3"/>
            <w:tcBorders>
              <w:top w:val="single" w:color="000000" w:sz="4" w:space="0"/>
              <w:left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地下空间基准地价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94"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232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2092"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232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负一层</w:t>
            </w:r>
          </w:p>
        </w:tc>
        <w:tc>
          <w:tcPr>
            <w:tcW w:w="2560"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负二层</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负三层及</w:t>
            </w:r>
            <w:r>
              <w:rPr>
                <w:rFonts w:ascii="宋体" w:hAnsi="宋体" w:cs="宋体"/>
                <w:color w:val="000000"/>
                <w:kern w:val="0"/>
                <w:sz w:val="18"/>
                <w:szCs w:val="18"/>
              </w:rPr>
              <w:t>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商服</w:t>
            </w:r>
          </w:p>
        </w:tc>
        <w:tc>
          <w:tcPr>
            <w:tcW w:w="139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eastAsia="宋体"/>
                <w:color w:val="000000"/>
                <w:kern w:val="0"/>
                <w:sz w:val="18"/>
                <w:szCs w:val="18"/>
              </w:rPr>
            </w:pPr>
            <w:r>
              <w:rPr>
                <w:rFonts w:hint="eastAsia" w:ascii="宋体" w:hAnsi="宋体" w:eastAsia="宋体"/>
                <w:color w:val="000000"/>
                <w:sz w:val="18"/>
                <w:szCs w:val="18"/>
              </w:rPr>
              <w:t>Ⅰ</w:t>
            </w:r>
          </w:p>
        </w:tc>
        <w:tc>
          <w:tcPr>
            <w:tcW w:w="2325" w:type="dxa"/>
            <w:tcBorders>
              <w:top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1265</w:t>
            </w:r>
          </w:p>
        </w:tc>
        <w:tc>
          <w:tcPr>
            <w:tcW w:w="2092" w:type="dxa"/>
            <w:tcBorders>
              <w:top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752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150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75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Ⅱ</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920</w:t>
            </w:r>
          </w:p>
        </w:tc>
        <w:tc>
          <w:tcPr>
            <w:tcW w:w="2092"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497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99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50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Ⅲ</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748</w:t>
            </w:r>
          </w:p>
        </w:tc>
        <w:tc>
          <w:tcPr>
            <w:tcW w:w="2092"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331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66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33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IV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518</w:t>
            </w:r>
          </w:p>
        </w:tc>
        <w:tc>
          <w:tcPr>
            <w:tcW w:w="2092"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196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39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20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住宅</w:t>
            </w: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Ⅰ</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748</w:t>
            </w:r>
          </w:p>
        </w:tc>
        <w:tc>
          <w:tcPr>
            <w:tcW w:w="2092"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328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66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33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Ⅱ</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644</w:t>
            </w:r>
          </w:p>
        </w:tc>
        <w:tc>
          <w:tcPr>
            <w:tcW w:w="2092"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246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49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25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Ⅲ</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575</w:t>
            </w:r>
          </w:p>
        </w:tc>
        <w:tc>
          <w:tcPr>
            <w:tcW w:w="2092"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213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43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21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IV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403</w:t>
            </w:r>
          </w:p>
        </w:tc>
        <w:tc>
          <w:tcPr>
            <w:tcW w:w="2092"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147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29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15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restart"/>
            <w:tcBorders>
              <w:top w:val="single" w:color="auto" w:sz="4" w:space="0"/>
              <w:left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Ⅰ</w:t>
            </w:r>
          </w:p>
        </w:tc>
        <w:tc>
          <w:tcPr>
            <w:tcW w:w="2325" w:type="dxa"/>
            <w:tcBorders>
              <w:top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411</w:t>
            </w:r>
          </w:p>
        </w:tc>
        <w:tc>
          <w:tcPr>
            <w:tcW w:w="2092" w:type="dxa"/>
            <w:tcBorders>
              <w:top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139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28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14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continue"/>
            <w:tcBorders>
              <w:left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Ⅱ</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299</w:t>
            </w:r>
          </w:p>
        </w:tc>
        <w:tc>
          <w:tcPr>
            <w:tcW w:w="2092"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101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20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10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vMerge w:val="continue"/>
            <w:tcBorders>
              <w:left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Ⅲ</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224</w:t>
            </w:r>
          </w:p>
        </w:tc>
        <w:tc>
          <w:tcPr>
            <w:tcW w:w="2092"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74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15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7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397" w:hRule="atLeast"/>
        </w:trPr>
        <w:tc>
          <w:tcPr>
            <w:tcW w:w="1153" w:type="dxa"/>
            <w:tcBorders>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1394"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IV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206</w:t>
            </w:r>
          </w:p>
        </w:tc>
        <w:tc>
          <w:tcPr>
            <w:tcW w:w="2092"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66 </w:t>
            </w:r>
          </w:p>
        </w:tc>
        <w:tc>
          <w:tcPr>
            <w:tcW w:w="2325" w:type="dxa"/>
            <w:tcBorders>
              <w:bottom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13 </w:t>
            </w:r>
          </w:p>
        </w:tc>
        <w:tc>
          <w:tcPr>
            <w:tcW w:w="2560" w:type="dxa"/>
            <w:tcBorders>
              <w:left w:val="single" w:color="000000" w:sz="12" w:space="0"/>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7 </w:t>
            </w:r>
          </w:p>
        </w:tc>
        <w:tc>
          <w:tcPr>
            <w:tcW w:w="2325" w:type="dxa"/>
            <w:tcBorders>
              <w:bottom w:val="single" w:color="000000" w:sz="12" w:space="0"/>
              <w:right w:val="single" w:color="000000" w:sz="12"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xml:space="preserve">3 </w:t>
            </w:r>
          </w:p>
        </w:tc>
      </w:tr>
    </w:tbl>
    <w:p>
      <w:pPr>
        <w:ind w:firstLine="360" w:firstLineChars="150"/>
        <w:rPr>
          <w:rFonts w:ascii="宋体" w:hAnsi="宋体"/>
          <w:b/>
          <w:bCs/>
          <w:sz w:val="30"/>
          <w:szCs w:val="30"/>
        </w:rPr>
      </w:pPr>
      <w:r>
        <w:rPr>
          <w:rFonts w:hint="eastAsia" w:ascii="宋体" w:hAnsi="宋体" w:eastAsia="宋体"/>
          <w:sz w:val="24"/>
          <w:szCs w:val="24"/>
        </w:rPr>
        <w:t>依据</w:t>
      </w:r>
      <w:r>
        <w:rPr>
          <w:rFonts w:ascii="宋体" w:hAnsi="宋体" w:eastAsia="宋体"/>
          <w:sz w:val="24"/>
          <w:szCs w:val="24"/>
        </w:rPr>
        <w:t>吉林省国土资源厅</w:t>
      </w:r>
      <w:r>
        <w:rPr>
          <w:rFonts w:hint="eastAsia" w:ascii="宋体" w:hAnsi="宋体" w:eastAsia="宋体"/>
          <w:sz w:val="24"/>
          <w:szCs w:val="24"/>
        </w:rPr>
        <w:t>文件《吉林省</w:t>
      </w:r>
      <w:r>
        <w:rPr>
          <w:rFonts w:ascii="宋体" w:hAnsi="宋体" w:eastAsia="宋体"/>
          <w:sz w:val="24"/>
          <w:szCs w:val="24"/>
        </w:rPr>
        <w:t>国土资源</w:t>
      </w:r>
      <w:r>
        <w:rPr>
          <w:rFonts w:hint="eastAsia" w:ascii="宋体" w:hAnsi="宋体" w:eastAsia="宋体"/>
          <w:sz w:val="24"/>
          <w:szCs w:val="24"/>
        </w:rPr>
        <w:t>厅</w:t>
      </w:r>
      <w:r>
        <w:rPr>
          <w:rFonts w:ascii="宋体" w:hAnsi="宋体" w:eastAsia="宋体"/>
          <w:sz w:val="24"/>
          <w:szCs w:val="24"/>
        </w:rPr>
        <w:t>关于地下空间建设用地使用权基准地价制定的</w:t>
      </w:r>
      <w:r>
        <w:rPr>
          <w:rFonts w:hint="eastAsia" w:ascii="宋体" w:hAnsi="宋体" w:eastAsia="宋体"/>
          <w:sz w:val="24"/>
          <w:szCs w:val="24"/>
        </w:rPr>
        <w:t>指导</w:t>
      </w:r>
      <w:r>
        <w:rPr>
          <w:rFonts w:ascii="宋体" w:hAnsi="宋体" w:eastAsia="宋体"/>
          <w:sz w:val="24"/>
          <w:szCs w:val="24"/>
        </w:rPr>
        <w:t>意见》吉国土资用</w:t>
      </w:r>
      <w:r>
        <w:rPr>
          <w:rFonts w:hint="eastAsia" w:ascii="宋体" w:hAnsi="宋体" w:eastAsia="宋体"/>
          <w:sz w:val="24"/>
          <w:szCs w:val="24"/>
        </w:rPr>
        <w:t>发</w:t>
      </w:r>
      <w:r>
        <w:rPr>
          <w:rFonts w:ascii="宋体" w:hAnsi="宋体" w:eastAsia="宋体"/>
          <w:sz w:val="24"/>
          <w:szCs w:val="24"/>
        </w:rPr>
        <w:t>[2015]33</w:t>
      </w:r>
      <w:r>
        <w:rPr>
          <w:rFonts w:hint="eastAsia" w:ascii="宋体" w:hAnsi="宋体" w:eastAsia="宋体"/>
          <w:sz w:val="24"/>
          <w:szCs w:val="24"/>
        </w:rPr>
        <w:t>号，</w:t>
      </w:r>
      <w:r>
        <w:rPr>
          <w:rFonts w:ascii="宋体" w:hAnsi="宋体" w:eastAsia="宋体"/>
          <w:sz w:val="24"/>
          <w:szCs w:val="24"/>
        </w:rPr>
        <w:t>单独设立的地下空间建设用地使用权基准地价是指地下空间建设用地使用权的政府土地纯收益。</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18" w:right="1440" w:bottom="2177" w:left="144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t>- 1 -</w:t>
                          </w:r>
                          <w:r>
                            <w:rPr>
                              <w:sz w:val="21"/>
                              <w:szCs w:val="21"/>
                            </w:rPr>
                            <w:fldChar w:fldCharType="end"/>
                          </w:r>
                        </w:p>
                      </w:txbxContent>
                    </wps:txbx>
                    <wps:bodyPr wrap="none" lIns="0" tIns="0" rIns="0" bIns="0" upright="1">
                      <a:spAutoFit/>
                    </wps:bodyPr>
                  </wps:wsp>
                </a:graphicData>
              </a:graphic>
            </wp:anchor>
          </w:drawing>
        </mc:Choice>
        <mc:Fallback>
          <w:pict>
            <v:rect id="文本框 6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8c49zEAQAAkA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7QJnDlh6cIv379dfvy6/PzK&#10;blbJnz5gRW1P4RGmDClMYocWbHqTDDZkT89XT9UQmaTicr1ar0uyW9LZnBBO8fx5AIwPyluWgpoD&#10;XVr2Upw+YBxb55Y0zfl7bQzVRWXcXwXCTJUiMR45pigO+2EivvfNmeT2dN81d7TenJn3juxMqzEH&#10;MAf7OTgG0IeOqC0zLwx3x0gkMrc0YYSdBtNFZXXTUqVN+DPPXc8/0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8c49zEAQAAkAMAAA4AAAAAAAAAAQAgAAAAHwEAAGRycy9lMm9Eb2MueG1s&#10;UEsFBgAAAAAGAAYAWQEAAFUFA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t>- 1 -</w:t>
                    </w:r>
                    <w:r>
                      <w:rPr>
                        <w:sz w:val="21"/>
                        <w:szCs w:val="21"/>
                      </w:rPr>
                      <w:fldChar w:fldCharType="end"/>
                    </w:r>
                  </w:p>
                </w:txbxContent>
              </v:textbox>
            </v:rect>
          </w:pict>
        </mc:Fallback>
      </mc:AlternateContent>
    </w:r>
    <w:r>
      <w:rPr>
        <w:rFonts w:hint="eastAsia"/>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left="480" w:firstLine="360"/>
      <w:rPr>
        <w:rStyle w:val="15"/>
      </w:rPr>
    </w:pPr>
    <w:r>
      <w:fldChar w:fldCharType="begin"/>
    </w:r>
    <w:r>
      <w:rPr>
        <w:rStyle w:val="15"/>
      </w:rPr>
      <w:instrText xml:space="preserve">PAGE  </w:instrText>
    </w:r>
    <w:r>
      <w:fldChar w:fldCharType="separate"/>
    </w:r>
    <w:r>
      <w:rPr>
        <w:rStyle w:val="15"/>
      </w:rPr>
      <w:t>- 70 -</w:t>
    </w:r>
    <w:r>
      <w:fldChar w:fldCharType="end"/>
    </w:r>
  </w:p>
  <w:p>
    <w:pPr>
      <w:pStyle w:val="9"/>
      <w:ind w:left="480"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00000000"/>
    <w:rsid w:val="013D17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1"/>
    <w:unhideWhenUsed/>
    <w:qFormat/>
    <w:uiPriority w:val="0"/>
    <w:pPr>
      <w:keepNext/>
      <w:keepLines/>
      <w:spacing w:before="260" w:after="260" w:line="416" w:lineRule="auto"/>
      <w:jc w:val="center"/>
      <w:outlineLvl w:val="1"/>
    </w:pPr>
    <w:rPr>
      <w:rFonts w:ascii="Cambria" w:hAnsi="Cambria"/>
      <w:b/>
      <w:bCs/>
      <w:sz w:val="30"/>
      <w:szCs w:val="32"/>
    </w:rPr>
  </w:style>
  <w:style w:type="paragraph" w:styleId="4">
    <w:name w:val="heading 3"/>
    <w:basedOn w:val="1"/>
    <w:next w:val="5"/>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spacing w:line="400" w:lineRule="exact"/>
      <w:ind w:left="420"/>
    </w:pPr>
    <w:rPr>
      <w:rFonts w:ascii="Times New Roman" w:hAnsi="Times New Roman"/>
      <w:sz w:val="24"/>
      <w:szCs w:val="24"/>
    </w:rPr>
  </w:style>
  <w:style w:type="paragraph" w:styleId="6">
    <w:name w:val="Body Text"/>
    <w:basedOn w:val="1"/>
    <w:qFormat/>
    <w:uiPriority w:val="0"/>
    <w:pPr>
      <w:tabs>
        <w:tab w:val="left" w:pos="975"/>
      </w:tabs>
      <w:spacing w:line="480" w:lineRule="exact"/>
    </w:pPr>
    <w:rPr>
      <w:rFonts w:ascii="宋体" w:hAnsi="宋体"/>
      <w:color w:val="000000"/>
      <w:sz w:val="24"/>
    </w:rPr>
  </w:style>
  <w:style w:type="paragraph" w:styleId="7">
    <w:name w:val="Body Text Indent"/>
    <w:basedOn w:val="1"/>
    <w:qFormat/>
    <w:uiPriority w:val="0"/>
    <w:pPr>
      <w:spacing w:line="360" w:lineRule="auto"/>
      <w:ind w:firstLine="480" w:firstLineChars="200"/>
      <w:jc w:val="left"/>
    </w:pPr>
    <w:rPr>
      <w:rFonts w:ascii="宋体" w:hAnsi="宋体"/>
      <w:color w:val="000000"/>
      <w:sz w:val="24"/>
      <w:szCs w:val="20"/>
    </w:r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0"/>
    <w:pPr>
      <w:spacing w:before="240" w:after="60"/>
      <w:jc w:val="center"/>
      <w:outlineLvl w:val="0"/>
    </w:pPr>
    <w:rPr>
      <w:rFonts w:ascii="Cambria" w:hAnsi="Cambria"/>
      <w:b/>
      <w:bCs/>
      <w:sz w:val="36"/>
      <w:szCs w:val="32"/>
    </w:rPr>
  </w:style>
  <w:style w:type="paragraph" w:styleId="12">
    <w:name w:val="Body Text First Indent"/>
    <w:basedOn w:val="6"/>
    <w:qFormat/>
    <w:uiPriority w:val="0"/>
    <w:pPr>
      <w:spacing w:after="120" w:line="240" w:lineRule="auto"/>
      <w:ind w:firstLine="420" w:firstLineChars="100"/>
    </w:pPr>
    <w:rPr>
      <w:rFonts w:ascii="Calibri" w:hAnsi="Calibri"/>
      <w:color w:val="auto"/>
      <w:sz w:val="21"/>
    </w:rPr>
  </w:style>
  <w:style w:type="character" w:styleId="15">
    <w:name w:val="page number"/>
    <w:basedOn w:val="14"/>
    <w:qFormat/>
    <w:uiPriority w:val="0"/>
  </w:style>
  <w:style w:type="paragraph" w:customStyle="1" w:styleId="16">
    <w:name w:val="正文2010"/>
    <w:basedOn w:val="12"/>
    <w:qFormat/>
    <w:uiPriority w:val="0"/>
    <w:pPr>
      <w:tabs>
        <w:tab w:val="left" w:pos="180"/>
        <w:tab w:val="left" w:pos="1980"/>
      </w:tabs>
      <w:spacing w:after="0" w:line="360" w:lineRule="auto"/>
      <w:ind w:left="1679" w:leftChars="228" w:hanging="1200" w:hangingChars="500"/>
    </w:pPr>
    <w:rPr>
      <w:rFonts w:ascii="宋体" w:hAnsi="宋体" w:cs="宋体"/>
      <w:kern w:val="0"/>
      <w:sz w:val="24"/>
      <w:szCs w:val="20"/>
    </w:rPr>
  </w:style>
  <w:style w:type="paragraph" w:customStyle="1" w:styleId="17">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8">
    <w:name w:val="样式 样式 标题 3标题 3 Char Char + 小三 段前: 0 磅 段后: 0 磅 行距: 固定值 25 磅 + 首行缩..."/>
    <w:basedOn w:val="19"/>
    <w:qFormat/>
    <w:uiPriority w:val="0"/>
    <w:pPr>
      <w:spacing w:before="120" w:after="120"/>
      <w:ind w:firstLine="590"/>
    </w:pPr>
  </w:style>
  <w:style w:type="paragraph" w:customStyle="1" w:styleId="19">
    <w:name w:val="样式 标题 3标题 3 Char Char + 小三 段前: 0 磅 段后: 0 磅 行距: 固定值 25 磅"/>
    <w:basedOn w:val="4"/>
    <w:qFormat/>
    <w:uiPriority w:val="0"/>
    <w:pPr>
      <w:spacing w:beforeLines="50" w:afterLines="50" w:line="500" w:lineRule="exact"/>
      <w:ind w:firstLine="196" w:firstLineChars="196"/>
    </w:pPr>
    <w:rPr>
      <w:rFonts w:cs="宋体"/>
      <w:sz w:val="30"/>
    </w:rPr>
  </w:style>
  <w:style w:type="character" w:customStyle="1" w:styleId="20">
    <w:name w:val="font01"/>
    <w:basedOn w:val="14"/>
    <w:qFormat/>
    <w:uiPriority w:val="0"/>
    <w:rPr>
      <w:rFonts w:hint="eastAsia" w:ascii="宋体" w:hAnsi="宋体" w:eastAsia="宋体" w:cs="宋体"/>
      <w:color w:val="000000"/>
      <w:sz w:val="20"/>
      <w:szCs w:val="20"/>
      <w:u w:val="none"/>
      <w:vertAlign w:val="superscript"/>
    </w:rPr>
  </w:style>
  <w:style w:type="character" w:customStyle="1" w:styleId="21">
    <w:name w:val="font11"/>
    <w:basedOn w:val="14"/>
    <w:qFormat/>
    <w:uiPriority w:val="0"/>
    <w:rPr>
      <w:rFonts w:hint="eastAsia" w:ascii="宋体" w:hAnsi="宋体" w:eastAsia="宋体" w:cs="宋体"/>
      <w:color w:val="000000"/>
      <w:sz w:val="20"/>
      <w:szCs w:val="20"/>
      <w:u w:val="none"/>
    </w:rPr>
  </w:style>
  <w:style w:type="character" w:customStyle="1" w:styleId="22">
    <w:name w:val="font21"/>
    <w:basedOn w:val="14"/>
    <w:qFormat/>
    <w:uiPriority w:val="0"/>
    <w:rPr>
      <w:rFonts w:hint="default" w:ascii="Times New Roman" w:hAnsi="Times New Roman" w:cs="Times New Roman"/>
      <w:color w:val="000000"/>
      <w:sz w:val="18"/>
      <w:szCs w:val="18"/>
      <w:u w:val="none"/>
    </w:rPr>
  </w:style>
  <w:style w:type="character" w:customStyle="1" w:styleId="23">
    <w:name w:val="批注框文本 Char Char"/>
    <w:basedOn w:val="14"/>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4</Pages>
  <Words>1281</Words>
  <Characters>1749</Characters>
  <Lines>9</Lines>
  <Paragraphs>4</Paragraphs>
  <TotalTime>0</TotalTime>
  <ScaleCrop>false</ScaleCrop>
  <LinksUpToDate>false</LinksUpToDate>
  <CharactersWithSpaces>1830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2016-04-07T05:36:00Z</cp:lastPrinted>
  <dcterms:modified xsi:type="dcterms:W3CDTF">2023-05-06T07:11:26Z</dcterms:modified>
  <dc:title>榆树市基准地价更新成果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71B072C06D8C4050B96EF3F1C85264D2_13</vt:lpwstr>
  </property>
</Properties>
</file>