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Spacing w:w="0" w:type="dxa"/>
        <w:tblCellMar>
          <w:left w:w="0" w:type="dxa"/>
          <w:right w:w="0" w:type="dxa"/>
        </w:tblCellMar>
        <w:tblLook w:val="04A0"/>
      </w:tblPr>
      <w:tblGrid>
        <w:gridCol w:w="15000"/>
      </w:tblGrid>
      <w:tr w:rsidR="002371EA" w:rsidRPr="002371EA" w:rsidTr="002371EA">
        <w:trPr>
          <w:tblCellSpacing w:w="0" w:type="dxa"/>
          <w:jc w:val="center"/>
        </w:trPr>
        <w:tc>
          <w:tcPr>
            <w:tcW w:w="0" w:type="auto"/>
            <w:hideMark/>
          </w:tcPr>
          <w:tbl>
            <w:tblPr>
              <w:tblW w:w="15000" w:type="dxa"/>
              <w:jc w:val="center"/>
              <w:tblCellSpacing w:w="0" w:type="dxa"/>
              <w:tblCellMar>
                <w:left w:w="0" w:type="dxa"/>
                <w:right w:w="0" w:type="dxa"/>
              </w:tblCellMar>
              <w:tblLook w:val="04A0"/>
            </w:tblPr>
            <w:tblGrid>
              <w:gridCol w:w="15000"/>
            </w:tblGrid>
            <w:tr w:rsidR="002371EA" w:rsidRPr="002371EA">
              <w:trPr>
                <w:trHeight w:val="450"/>
                <w:tblCellSpacing w:w="0" w:type="dxa"/>
                <w:jc w:val="center"/>
              </w:trPr>
              <w:tc>
                <w:tcPr>
                  <w:tcW w:w="0" w:type="auto"/>
                  <w:tcBorders>
                    <w:bottom w:val="single" w:sz="6" w:space="0" w:color="B5B5B5"/>
                  </w:tcBorders>
                  <w:vAlign w:val="center"/>
                  <w:hideMark/>
                </w:tcPr>
                <w:p w:rsidR="002371EA" w:rsidRPr="002371EA" w:rsidRDefault="002371EA" w:rsidP="002371EA">
                  <w:pPr>
                    <w:widowControl/>
                    <w:jc w:val="left"/>
                    <w:rPr>
                      <w:rFonts w:ascii="宋体" w:eastAsia="宋体" w:hAnsi="宋体" w:cs="宋体"/>
                      <w:color w:val="343434"/>
                      <w:kern w:val="0"/>
                      <w:sz w:val="24"/>
                      <w:szCs w:val="24"/>
                    </w:rPr>
                  </w:pPr>
                  <w:r w:rsidRPr="002371EA">
                    <w:rPr>
                      <w:rFonts w:ascii="宋体" w:eastAsia="宋体" w:hAnsi="宋体" w:cs="宋体"/>
                      <w:color w:val="343434"/>
                      <w:kern w:val="0"/>
                      <w:sz w:val="24"/>
                      <w:szCs w:val="24"/>
                    </w:rPr>
                    <w:fldChar w:fldCharType="begin"/>
                  </w:r>
                  <w:r w:rsidRPr="002371EA">
                    <w:rPr>
                      <w:rFonts w:ascii="宋体" w:eastAsia="宋体" w:hAnsi="宋体" w:cs="宋体"/>
                      <w:color w:val="343434"/>
                      <w:kern w:val="0"/>
                      <w:sz w:val="24"/>
                      <w:szCs w:val="24"/>
                    </w:rPr>
                    <w:instrText xml:space="preserve"> HYPERLINK "http://hrss.jl.gov.cn/gg/" \o "公告" </w:instrText>
                  </w:r>
                  <w:r w:rsidRPr="002371EA">
                    <w:rPr>
                      <w:rFonts w:ascii="宋体" w:eastAsia="宋体" w:hAnsi="宋体" w:cs="宋体"/>
                      <w:color w:val="343434"/>
                      <w:kern w:val="0"/>
                      <w:sz w:val="24"/>
                      <w:szCs w:val="24"/>
                    </w:rPr>
                    <w:fldChar w:fldCharType="separate"/>
                  </w:r>
                  <w:r w:rsidRPr="002371EA">
                    <w:rPr>
                      <w:rFonts w:ascii="宋体" w:eastAsia="宋体" w:hAnsi="宋体" w:cs="宋体" w:hint="eastAsia"/>
                      <w:color w:val="000000"/>
                      <w:kern w:val="0"/>
                      <w:sz w:val="18"/>
                    </w:rPr>
                    <w:t>公告</w:t>
                  </w:r>
                  <w:r w:rsidRPr="002371EA">
                    <w:rPr>
                      <w:rFonts w:ascii="宋体" w:eastAsia="宋体" w:hAnsi="宋体" w:cs="宋体"/>
                      <w:color w:val="343434"/>
                      <w:kern w:val="0"/>
                      <w:sz w:val="24"/>
                      <w:szCs w:val="24"/>
                    </w:rPr>
                    <w:fldChar w:fldCharType="end"/>
                  </w:r>
                </w:p>
              </w:tc>
            </w:tr>
          </w:tbl>
          <w:p w:rsidR="002371EA" w:rsidRPr="002371EA" w:rsidRDefault="002371EA" w:rsidP="002371EA">
            <w:pPr>
              <w:widowControl/>
              <w:jc w:val="center"/>
              <w:rPr>
                <w:rFonts w:ascii="宋体" w:eastAsia="宋体" w:hAnsi="宋体" w:cs="宋体"/>
                <w:color w:val="343434"/>
                <w:kern w:val="0"/>
                <w:sz w:val="24"/>
                <w:szCs w:val="24"/>
              </w:rPr>
            </w:pPr>
          </w:p>
        </w:tc>
      </w:tr>
      <w:tr w:rsidR="002371EA" w:rsidRPr="002371EA" w:rsidTr="002371EA">
        <w:trPr>
          <w:tblCellSpacing w:w="0" w:type="dxa"/>
          <w:jc w:val="center"/>
        </w:trPr>
        <w:tc>
          <w:tcPr>
            <w:tcW w:w="0" w:type="auto"/>
            <w:hideMark/>
          </w:tcPr>
          <w:p w:rsidR="002371EA" w:rsidRPr="002371EA" w:rsidRDefault="002371EA" w:rsidP="002371EA">
            <w:pPr>
              <w:widowControl/>
              <w:jc w:val="center"/>
              <w:rPr>
                <w:rFonts w:ascii="宋体" w:eastAsia="宋体" w:hAnsi="宋体" w:cs="宋体"/>
                <w:color w:val="343434"/>
                <w:kern w:val="0"/>
                <w:sz w:val="24"/>
                <w:szCs w:val="24"/>
              </w:rPr>
            </w:pPr>
          </w:p>
        </w:tc>
      </w:tr>
    </w:tbl>
    <w:p w:rsidR="002371EA" w:rsidRPr="002371EA" w:rsidRDefault="002371EA" w:rsidP="002371EA">
      <w:pPr>
        <w:widowControl/>
        <w:shd w:val="clear" w:color="auto" w:fill="EEEEEE"/>
        <w:spacing w:line="1050" w:lineRule="atLeast"/>
        <w:jc w:val="center"/>
        <w:rPr>
          <w:rFonts w:ascii="微软雅黑" w:eastAsia="微软雅黑" w:hAnsi="微软雅黑" w:cs="宋体"/>
          <w:b/>
          <w:bCs/>
          <w:color w:val="990000"/>
          <w:kern w:val="0"/>
          <w:sz w:val="48"/>
          <w:szCs w:val="48"/>
        </w:rPr>
      </w:pPr>
      <w:hyperlink r:id="rId5" w:tooltip="关于开展吉林省专业技术人员初级职称认定工作有关事宜的通知" w:history="1">
        <w:r w:rsidRPr="002371EA">
          <w:rPr>
            <w:rFonts w:ascii="微软雅黑" w:eastAsia="微软雅黑" w:hAnsi="微软雅黑" w:cs="宋体" w:hint="eastAsia"/>
            <w:b/>
            <w:bCs/>
            <w:color w:val="CA1200"/>
            <w:kern w:val="0"/>
            <w:sz w:val="27"/>
          </w:rPr>
          <w:t>关于开展吉林省专业技术人员初级职称认定工作有关事宜的通知</w:t>
        </w:r>
      </w:hyperlink>
    </w:p>
    <w:p w:rsidR="002371EA" w:rsidRPr="002371EA" w:rsidRDefault="002371EA" w:rsidP="002371EA">
      <w:pPr>
        <w:widowControl/>
        <w:numPr>
          <w:ilvl w:val="0"/>
          <w:numId w:val="1"/>
        </w:numPr>
        <w:spacing w:before="450" w:after="450"/>
        <w:ind w:left="750"/>
        <w:jc w:val="left"/>
        <w:rPr>
          <w:rFonts w:ascii="微软雅黑" w:eastAsia="微软雅黑" w:hAnsi="微软雅黑" w:cs="宋体" w:hint="eastAsia"/>
          <w:color w:val="343434"/>
          <w:kern w:val="0"/>
          <w:sz w:val="18"/>
          <w:szCs w:val="18"/>
        </w:rPr>
      </w:pPr>
      <w:r w:rsidRPr="002371EA">
        <w:rPr>
          <w:rFonts w:ascii="微软雅黑" w:eastAsia="微软雅黑" w:hAnsi="微软雅黑" w:cs="宋体" w:hint="eastAsia"/>
          <w:color w:val="343434"/>
          <w:kern w:val="0"/>
          <w:sz w:val="18"/>
          <w:szCs w:val="18"/>
        </w:rPr>
        <w:t>吉林省人力资源和社会保障厅</w:t>
      </w:r>
    </w:p>
    <w:p w:rsidR="002371EA" w:rsidRPr="002371EA" w:rsidRDefault="002371EA" w:rsidP="002371EA">
      <w:pPr>
        <w:widowControl/>
        <w:numPr>
          <w:ilvl w:val="0"/>
          <w:numId w:val="1"/>
        </w:numPr>
        <w:spacing w:before="450" w:after="450"/>
        <w:ind w:left="750"/>
        <w:jc w:val="left"/>
        <w:rPr>
          <w:rFonts w:ascii="微软雅黑" w:eastAsia="微软雅黑" w:hAnsi="微软雅黑" w:cs="宋体" w:hint="eastAsia"/>
          <w:color w:val="343434"/>
          <w:kern w:val="0"/>
          <w:sz w:val="18"/>
          <w:szCs w:val="18"/>
        </w:rPr>
      </w:pPr>
      <w:r w:rsidRPr="002371EA">
        <w:rPr>
          <w:rFonts w:ascii="微软雅黑" w:eastAsia="微软雅黑" w:hAnsi="微软雅黑" w:cs="宋体" w:hint="eastAsia"/>
          <w:color w:val="343434"/>
          <w:kern w:val="0"/>
          <w:sz w:val="18"/>
          <w:szCs w:val="18"/>
        </w:rPr>
        <w:t>发布时间:2021-12-02 14:46:00</w:t>
      </w:r>
    </w:p>
    <w:p w:rsidR="002371EA" w:rsidRPr="002371EA" w:rsidRDefault="002371EA" w:rsidP="002371EA">
      <w:pPr>
        <w:widowControl/>
        <w:numPr>
          <w:ilvl w:val="0"/>
          <w:numId w:val="1"/>
        </w:numPr>
        <w:spacing w:before="450" w:after="450"/>
        <w:ind w:left="750"/>
        <w:jc w:val="left"/>
        <w:rPr>
          <w:rFonts w:ascii="微软雅黑" w:eastAsia="微软雅黑" w:hAnsi="微软雅黑" w:cs="宋体" w:hint="eastAsia"/>
          <w:color w:val="343434"/>
          <w:kern w:val="0"/>
          <w:sz w:val="18"/>
          <w:szCs w:val="18"/>
        </w:rPr>
      </w:pPr>
      <w:r w:rsidRPr="002371EA">
        <w:rPr>
          <w:rFonts w:ascii="微软雅黑" w:eastAsia="微软雅黑" w:hAnsi="微软雅黑" w:cs="宋体" w:hint="eastAsia"/>
          <w:color w:val="343434"/>
          <w:kern w:val="0"/>
          <w:sz w:val="18"/>
          <w:szCs w:val="18"/>
        </w:rPr>
        <w:t>来源： 专技处</w:t>
      </w:r>
    </w:p>
    <w:p w:rsidR="002371EA" w:rsidRPr="002371EA" w:rsidRDefault="002371EA" w:rsidP="002371EA">
      <w:pPr>
        <w:widowControl/>
        <w:numPr>
          <w:ilvl w:val="0"/>
          <w:numId w:val="1"/>
        </w:numPr>
        <w:spacing w:before="450" w:after="450"/>
        <w:ind w:left="750"/>
        <w:jc w:val="left"/>
        <w:rPr>
          <w:rFonts w:ascii="微软雅黑" w:eastAsia="微软雅黑" w:hAnsi="微软雅黑" w:cs="宋体" w:hint="eastAsia"/>
          <w:color w:val="343434"/>
          <w:kern w:val="0"/>
          <w:sz w:val="18"/>
          <w:szCs w:val="18"/>
        </w:rPr>
      </w:pPr>
      <w:r w:rsidRPr="002371EA">
        <w:rPr>
          <w:rFonts w:ascii="微软雅黑" w:eastAsia="微软雅黑" w:hAnsi="微软雅黑" w:cs="宋体" w:hint="eastAsia"/>
          <w:color w:val="343434"/>
          <w:kern w:val="0"/>
          <w:sz w:val="18"/>
          <w:szCs w:val="18"/>
        </w:rPr>
        <w:t>作者:</w:t>
      </w:r>
    </w:p>
    <w:p w:rsidR="002371EA" w:rsidRPr="002371EA" w:rsidRDefault="002371EA" w:rsidP="002371EA">
      <w:pPr>
        <w:widowControl/>
        <w:numPr>
          <w:ilvl w:val="0"/>
          <w:numId w:val="1"/>
        </w:numPr>
        <w:ind w:left="750"/>
        <w:jc w:val="left"/>
        <w:rPr>
          <w:rFonts w:ascii="微软雅黑" w:eastAsia="微软雅黑" w:hAnsi="微软雅黑" w:cs="宋体" w:hint="eastAsia"/>
          <w:color w:val="343434"/>
          <w:kern w:val="0"/>
          <w:sz w:val="18"/>
          <w:szCs w:val="18"/>
        </w:rPr>
      </w:pPr>
      <w:r w:rsidRPr="002371EA">
        <w:rPr>
          <w:rFonts w:ascii="微软雅黑" w:eastAsia="微软雅黑" w:hAnsi="微软雅黑" w:cs="宋体" w:hint="eastAsia"/>
          <w:color w:val="343434"/>
          <w:kern w:val="0"/>
          <w:sz w:val="18"/>
          <w:szCs w:val="18"/>
        </w:rPr>
        <w:t>字体显示：</w:t>
      </w:r>
      <w:hyperlink r:id="rId6" w:tooltip="大" w:history="1">
        <w:r w:rsidRPr="002371EA">
          <w:rPr>
            <w:rFonts w:ascii="微软雅黑" w:eastAsia="微软雅黑" w:hAnsi="微软雅黑" w:cs="宋体" w:hint="eastAsia"/>
            <w:color w:val="343434"/>
            <w:kern w:val="0"/>
            <w:sz w:val="18"/>
          </w:rPr>
          <w:t>大</w:t>
        </w:r>
      </w:hyperlink>
      <w:r w:rsidRPr="002371EA">
        <w:rPr>
          <w:rFonts w:ascii="微软雅黑" w:eastAsia="微软雅黑" w:hAnsi="微软雅黑" w:cs="宋体" w:hint="eastAsia"/>
          <w:color w:val="343434"/>
          <w:kern w:val="0"/>
          <w:sz w:val="18"/>
          <w:szCs w:val="18"/>
        </w:rPr>
        <w:t> </w:t>
      </w:r>
      <w:hyperlink r:id="rId7" w:tooltip="中" w:history="1">
        <w:r w:rsidRPr="002371EA">
          <w:rPr>
            <w:rFonts w:ascii="微软雅黑" w:eastAsia="微软雅黑" w:hAnsi="微软雅黑" w:cs="宋体" w:hint="eastAsia"/>
            <w:color w:val="343434"/>
            <w:kern w:val="0"/>
            <w:sz w:val="18"/>
          </w:rPr>
          <w:t>中</w:t>
        </w:r>
      </w:hyperlink>
      <w:r w:rsidRPr="002371EA">
        <w:rPr>
          <w:rFonts w:ascii="微软雅黑" w:eastAsia="微软雅黑" w:hAnsi="微软雅黑" w:cs="宋体" w:hint="eastAsia"/>
          <w:color w:val="343434"/>
          <w:kern w:val="0"/>
          <w:sz w:val="18"/>
          <w:szCs w:val="18"/>
        </w:rPr>
        <w:t> </w:t>
      </w:r>
      <w:hyperlink r:id="rId8" w:tooltip="小" w:history="1">
        <w:r w:rsidRPr="002371EA">
          <w:rPr>
            <w:rFonts w:ascii="微软雅黑" w:eastAsia="微软雅黑" w:hAnsi="微软雅黑" w:cs="宋体" w:hint="eastAsia"/>
            <w:color w:val="343434"/>
            <w:kern w:val="0"/>
            <w:sz w:val="18"/>
          </w:rPr>
          <w:t>小</w:t>
        </w:r>
      </w:hyperlink>
    </w:p>
    <w:p w:rsidR="002371EA" w:rsidRPr="002371EA" w:rsidRDefault="002371EA" w:rsidP="002371EA">
      <w:pPr>
        <w:widowControl/>
        <w:spacing w:line="315" w:lineRule="atLeast"/>
        <w:jc w:val="center"/>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吉</w:t>
      </w:r>
      <w:proofErr w:type="gramStart"/>
      <w:r w:rsidRPr="002371EA">
        <w:rPr>
          <w:rFonts w:ascii="仿宋" w:eastAsia="仿宋" w:hAnsi="仿宋" w:cs="宋体" w:hint="eastAsia"/>
          <w:color w:val="343434"/>
          <w:kern w:val="0"/>
          <w:sz w:val="32"/>
          <w:szCs w:val="32"/>
        </w:rPr>
        <w:t>人社函</w:t>
      </w:r>
      <w:proofErr w:type="gramEnd"/>
      <w:r w:rsidRPr="002371EA">
        <w:rPr>
          <w:rFonts w:ascii="仿宋" w:eastAsia="仿宋" w:hAnsi="仿宋" w:cs="宋体" w:hint="eastAsia"/>
          <w:color w:val="343434"/>
          <w:kern w:val="0"/>
          <w:sz w:val="32"/>
          <w:szCs w:val="32"/>
        </w:rPr>
        <w:t>〔2021〕204号</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各市（州）、长白山管委会人力资源和社会保障局，省直单位（部门）及直属企事业单位，驻省中直有关单位，评聘结合改革试点单位，省内有关企业：</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为规范我省专业技术人员初级职称认定工作，根据《职称评审管理暂行规定》（</w:t>
      </w:r>
      <w:proofErr w:type="gramStart"/>
      <w:r w:rsidRPr="002371EA">
        <w:rPr>
          <w:rFonts w:ascii="仿宋" w:eastAsia="仿宋" w:hAnsi="仿宋" w:cs="宋体" w:hint="eastAsia"/>
          <w:color w:val="343434"/>
          <w:kern w:val="0"/>
          <w:sz w:val="32"/>
          <w:szCs w:val="32"/>
        </w:rPr>
        <w:t>人社部</w:t>
      </w:r>
      <w:proofErr w:type="gramEnd"/>
      <w:r w:rsidRPr="002371EA">
        <w:rPr>
          <w:rFonts w:ascii="仿宋" w:eastAsia="仿宋" w:hAnsi="仿宋" w:cs="宋体" w:hint="eastAsia"/>
          <w:color w:val="343434"/>
          <w:kern w:val="0"/>
          <w:sz w:val="32"/>
          <w:szCs w:val="32"/>
        </w:rPr>
        <w:t>第40号令）和《吉林省深化职称制度改革的实施意见》（</w:t>
      </w:r>
      <w:proofErr w:type="gramStart"/>
      <w:r w:rsidRPr="002371EA">
        <w:rPr>
          <w:rFonts w:ascii="仿宋" w:eastAsia="仿宋" w:hAnsi="仿宋" w:cs="宋体" w:hint="eastAsia"/>
          <w:color w:val="343434"/>
          <w:kern w:val="0"/>
          <w:sz w:val="32"/>
          <w:szCs w:val="32"/>
        </w:rPr>
        <w:t>吉办发</w:t>
      </w:r>
      <w:proofErr w:type="gramEnd"/>
      <w:r w:rsidRPr="002371EA">
        <w:rPr>
          <w:rFonts w:ascii="仿宋" w:eastAsia="仿宋" w:hAnsi="仿宋" w:cs="宋体" w:hint="eastAsia"/>
          <w:color w:val="343434"/>
          <w:kern w:val="0"/>
          <w:sz w:val="32"/>
          <w:szCs w:val="32"/>
        </w:rPr>
        <w:t>〔2018〕37号）精神，进一步规范评审工作程序，做好我省专业技术人员初级职称认定工作，现就有关事宜通知如下：</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一、认定范围</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（一）申报初级职称认定人员应遵守中华人民共和国宪法和法律法规，具有良好的职业道德、敬业精神、作风端正，热爱本职工作，认真履行岗位职责。</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lastRenderedPageBreak/>
        <w:t xml:space="preserve">　　（二）申报初级职称认定人员应该为在我省企、事业单位、社会团体、个体经济组织中从事专业技术工作人员。</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 xml:space="preserve">　二、认定权限</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在我省被授予中级以上职称评审权限的行业主管部门或单位的专业评审委员会办事机构同时被授予初级职称认定工作权限。（各学、协会及自主评审企业无初级认定权限）</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三、认定条件</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一）具备国家教育行政部门批准认可的院校和经总政、总参批准认可的部队院校所授予的学历学位，以及中央党校、各省（自治区、直辖市）委党校对学制两年以上的长期班次学员所授予的党校学历。不属于上述院校授予的学历学位证书和教育行政部门不认可的各种培训班修业、结业证书或专业证书，均不能视为资格认定条件中所要求的学历学位。</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（二）申报初级职称认定人员需掌握本专业的基础理论知识和专业技术知识。同时还必需具备我省出台的各系列（专业）实施办法中规定的具体条件。</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（三）工勤人员转岗初级职称人员，可由用人单位逐级申请，经主管部门审核同意，</w:t>
      </w:r>
      <w:proofErr w:type="gramStart"/>
      <w:r w:rsidRPr="002371EA">
        <w:rPr>
          <w:rFonts w:ascii="仿宋" w:eastAsia="仿宋" w:hAnsi="仿宋" w:cs="宋体" w:hint="eastAsia"/>
          <w:color w:val="343434"/>
          <w:kern w:val="0"/>
          <w:sz w:val="32"/>
          <w:szCs w:val="32"/>
        </w:rPr>
        <w:t>报相应</w:t>
      </w:r>
      <w:proofErr w:type="gramEnd"/>
      <w:r w:rsidRPr="002371EA">
        <w:rPr>
          <w:rFonts w:ascii="仿宋" w:eastAsia="仿宋" w:hAnsi="仿宋" w:cs="宋体" w:hint="eastAsia"/>
          <w:color w:val="343434"/>
          <w:kern w:val="0"/>
          <w:sz w:val="32"/>
          <w:szCs w:val="32"/>
        </w:rPr>
        <w:t>评委会或地区</w:t>
      </w:r>
      <w:proofErr w:type="gramStart"/>
      <w:r w:rsidRPr="002371EA">
        <w:rPr>
          <w:rFonts w:ascii="仿宋" w:eastAsia="仿宋" w:hAnsi="仿宋" w:cs="宋体" w:hint="eastAsia"/>
          <w:color w:val="343434"/>
          <w:kern w:val="0"/>
          <w:sz w:val="32"/>
          <w:szCs w:val="32"/>
        </w:rPr>
        <w:t>人社部门</w:t>
      </w:r>
      <w:proofErr w:type="gramEnd"/>
      <w:r w:rsidRPr="002371EA">
        <w:rPr>
          <w:rFonts w:ascii="仿宋" w:eastAsia="仿宋" w:hAnsi="仿宋" w:cs="宋体" w:hint="eastAsia"/>
          <w:color w:val="343434"/>
          <w:kern w:val="0"/>
          <w:sz w:val="32"/>
          <w:szCs w:val="32"/>
        </w:rPr>
        <w:t>审核认定。首次认定的工勤人员，必须从事专业技术工作1年以上，并符合相应系列（专业）认定条件。</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四、认定程序及结果备案</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lastRenderedPageBreak/>
        <w:t xml:space="preserve">　　省属各类事业单位人员，由用人单位考核合格后推荐，报省属相关专业评审委员会办事机构审核认定；中省直企业单位人员按照属地化原则，由用人单位考核合格后推荐，报所属市（州）</w:t>
      </w:r>
      <w:proofErr w:type="gramStart"/>
      <w:r w:rsidRPr="002371EA">
        <w:rPr>
          <w:rFonts w:ascii="仿宋" w:eastAsia="仿宋" w:hAnsi="仿宋" w:cs="宋体" w:hint="eastAsia"/>
          <w:color w:val="343434"/>
          <w:kern w:val="0"/>
          <w:sz w:val="32"/>
          <w:szCs w:val="32"/>
        </w:rPr>
        <w:t>人社局</w:t>
      </w:r>
      <w:proofErr w:type="gramEnd"/>
      <w:r w:rsidRPr="002371EA">
        <w:rPr>
          <w:rFonts w:ascii="仿宋" w:eastAsia="仿宋" w:hAnsi="仿宋" w:cs="宋体" w:hint="eastAsia"/>
          <w:color w:val="343434"/>
          <w:kern w:val="0"/>
          <w:sz w:val="32"/>
          <w:szCs w:val="32"/>
        </w:rPr>
        <w:t>审核认定；市（州）、长白山管委会企、事业单位人员，由用人单位考核合格后推荐，报所属市（州）、长白山管委会人社局审核认定；评聘结合单位人员，由各单位按照以聘代评的方式进行认定，认定表由各认定评委会用印后以正式文件形式备案，同时报送认定结果电子版，由省人力资源和社会保障厅负责统一录入国家职称管理信息平台。</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五、认定要求</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（一）初级职称认定不包含国家规定的考试范围以内的系列 。</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具备专业准入专业限制要求的专业，申报人应取得相应有效职业资格。</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（二）初级职称申报人应提交以下材料：</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1.《吉林省初级专业技术资格认定表》（一式两份）；</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2.学历、单位聘任合同或劳动关系相关证明；</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3.单位推荐报告、单位公示材料；</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4.《吉林省初级专业技术资格汇总表》（单位填写）。</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（三）初级职称人员实行《吉林省初级专业技术资格认定表》存档备案管理制度，不再发证。</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lastRenderedPageBreak/>
        <w:t xml:space="preserve">　</w:t>
      </w:r>
      <w:r w:rsidRPr="002371EA">
        <w:rPr>
          <w:rFonts w:ascii="黑体" w:eastAsia="黑体" w:hAnsi="黑体" w:cs="宋体" w:hint="eastAsia"/>
          <w:color w:val="343434"/>
          <w:kern w:val="0"/>
          <w:sz w:val="32"/>
          <w:szCs w:val="32"/>
        </w:rPr>
        <w:t xml:space="preserve">　六、认定时间要求</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初级职称认定时间由评委会办事机构统一在每年第一季度开始申报，第三季度前完成。学历年限、业绩成果截止时间均为上一年12月31日，认定资格时间为认定当年1月1日。</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r w:rsidRPr="002371EA">
        <w:rPr>
          <w:rFonts w:ascii="黑体" w:eastAsia="黑体" w:hAnsi="黑体" w:cs="宋体" w:hint="eastAsia"/>
          <w:color w:val="343434"/>
          <w:kern w:val="0"/>
          <w:sz w:val="32"/>
          <w:szCs w:val="32"/>
        </w:rPr>
        <w:t>七、有关说明</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（一）初级职称认定工作不得收取任何费用。</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（二）有下列情形之一的，不具备申报初级职称认定条件：</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1.具有行业准入专业限制要求和涉及人身生命财产安全等方面的专业政策规定不予认定的；</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2.年度考核为不合格或基本合格的；</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3.取得多个初级职称的人员不得重复申报，一经查实，追究本人及单位责任，列入我省专业技术人员失信档案。</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4.省内各级党政机关公务员和参照《公务员法》管理单位的工作人员，不得参加初级职称认定工作。</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5.对达到离退休年龄已办理离（退）休手续的专业技术人员，也不得参加初级职称认定工作。</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p>
    <w:p w:rsidR="002371EA" w:rsidRPr="002371EA" w:rsidRDefault="002371EA" w:rsidP="002371EA">
      <w:pPr>
        <w:widowControl/>
        <w:spacing w:line="315" w:lineRule="atLeast"/>
        <w:jc w:val="left"/>
        <w:rPr>
          <w:rFonts w:ascii="微软雅黑" w:eastAsia="微软雅黑" w:hAnsi="微软雅黑" w:cs="宋体" w:hint="eastAsia"/>
          <w:color w:val="343434"/>
          <w:kern w:val="0"/>
          <w:szCs w:val="21"/>
        </w:rPr>
      </w:pPr>
      <w:r w:rsidRPr="002371EA">
        <w:rPr>
          <w:rFonts w:ascii="仿宋" w:eastAsia="仿宋" w:hAnsi="仿宋" w:cs="宋体" w:hint="eastAsia"/>
          <w:color w:val="343434"/>
          <w:kern w:val="0"/>
          <w:sz w:val="32"/>
          <w:szCs w:val="32"/>
        </w:rPr>
        <w:t xml:space="preserve">　　</w:t>
      </w:r>
    </w:p>
    <w:p w:rsidR="00801CE8" w:rsidRPr="002371EA" w:rsidRDefault="00801CE8"/>
    <w:sectPr w:rsidR="00801CE8" w:rsidRPr="002371EA" w:rsidSect="00801C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4088"/>
    <w:multiLevelType w:val="multilevel"/>
    <w:tmpl w:val="B96E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1EA"/>
    <w:rsid w:val="002371EA"/>
    <w:rsid w:val="00801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1EA"/>
    <w:rPr>
      <w:color w:val="0000FF"/>
      <w:u w:val="single"/>
    </w:rPr>
  </w:style>
  <w:style w:type="paragraph" w:styleId="a4">
    <w:name w:val="Normal (Web)"/>
    <w:basedOn w:val="a"/>
    <w:uiPriority w:val="99"/>
    <w:semiHidden/>
    <w:unhideWhenUsed/>
    <w:rsid w:val="002371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7148342">
      <w:bodyDiv w:val="1"/>
      <w:marLeft w:val="0"/>
      <w:marRight w:val="0"/>
      <w:marTop w:val="0"/>
      <w:marBottom w:val="0"/>
      <w:divBdr>
        <w:top w:val="none" w:sz="0" w:space="0" w:color="auto"/>
        <w:left w:val="none" w:sz="0" w:space="0" w:color="auto"/>
        <w:bottom w:val="none" w:sz="0" w:space="0" w:color="auto"/>
        <w:right w:val="none" w:sz="0" w:space="0" w:color="auto"/>
      </w:divBdr>
      <w:divsChild>
        <w:div w:id="906455998">
          <w:marLeft w:val="0"/>
          <w:marRight w:val="0"/>
          <w:marTop w:val="0"/>
          <w:marBottom w:val="0"/>
          <w:divBdr>
            <w:top w:val="none" w:sz="0" w:space="0" w:color="auto"/>
            <w:left w:val="none" w:sz="0" w:space="0" w:color="auto"/>
            <w:bottom w:val="none" w:sz="0" w:space="0" w:color="auto"/>
            <w:right w:val="none" w:sz="0" w:space="0" w:color="auto"/>
          </w:divBdr>
        </w:div>
        <w:div w:id="847059376">
          <w:marLeft w:val="0"/>
          <w:marRight w:val="0"/>
          <w:marTop w:val="0"/>
          <w:marBottom w:val="0"/>
          <w:divBdr>
            <w:top w:val="single" w:sz="6" w:space="0" w:color="EEEEEE"/>
            <w:left w:val="single" w:sz="6" w:space="0" w:color="EEEEEE"/>
            <w:bottom w:val="single" w:sz="6" w:space="0" w:color="EEEEEE"/>
            <w:right w:val="single" w:sz="6" w:space="0" w:color="EEEEEE"/>
          </w:divBdr>
          <w:divsChild>
            <w:div w:id="149641596">
              <w:marLeft w:val="0"/>
              <w:marRight w:val="0"/>
              <w:marTop w:val="300"/>
              <w:marBottom w:val="0"/>
              <w:divBdr>
                <w:top w:val="none" w:sz="0" w:space="0" w:color="auto"/>
                <w:left w:val="none" w:sz="0" w:space="0" w:color="auto"/>
                <w:bottom w:val="none" w:sz="0" w:space="0" w:color="auto"/>
                <w:right w:val="none" w:sz="0" w:space="0" w:color="auto"/>
              </w:divBdr>
            </w:div>
            <w:div w:id="541401619">
              <w:marLeft w:val="150"/>
              <w:marRight w:val="150"/>
              <w:marTop w:val="0"/>
              <w:marBottom w:val="0"/>
              <w:divBdr>
                <w:top w:val="none" w:sz="0" w:space="0" w:color="auto"/>
                <w:left w:val="none" w:sz="0" w:space="0" w:color="auto"/>
                <w:bottom w:val="none" w:sz="0" w:space="0" w:color="auto"/>
                <w:right w:val="none" w:sz="0" w:space="0" w:color="auto"/>
              </w:divBdr>
              <w:divsChild>
                <w:div w:id="12807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3" Type="http://schemas.openxmlformats.org/officeDocument/2006/relationships/settings" Target="settings.xml"/><Relationship Id="rId7" Type="http://schemas.openxmlformats.org/officeDocument/2006/relationships/hyperlink" Target="javascript:doZoom(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doZoom(18)"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2021-12-03T00:37:00Z</dcterms:created>
  <dcterms:modified xsi:type="dcterms:W3CDTF">2021-12-03T00:37:00Z</dcterms:modified>
</cp:coreProperties>
</file>