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93EF3">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bookmarkStart w:id="0" w:name="OLE_LINK8"/>
      <w:bookmarkStart w:id="1" w:name="_Toc436994093"/>
      <w:r>
        <w:rPr>
          <w:rFonts w:hint="eastAsia" w:ascii="宋体" w:hAnsi="宋体" w:eastAsia="宋体" w:cs="宋体"/>
          <w:sz w:val="21"/>
          <w:szCs w:val="21"/>
          <w:highlight w:val="none"/>
          <w:u w:val="none"/>
          <w:lang w:val="en-US" w:eastAsia="zh-CN"/>
        </w:rPr>
        <w:t>2024年榆树市乡村道路防汛隐患治理项目（一期）监理</w:t>
      </w:r>
      <w:bookmarkStart w:id="25" w:name="_GoBack"/>
      <w:bookmarkEnd w:id="25"/>
      <w:r>
        <w:rPr>
          <w:rFonts w:hint="eastAsia" w:ascii="宋体" w:hAnsi="宋体" w:eastAsia="宋体" w:cs="宋体"/>
          <w:b w:val="0"/>
          <w:bCs/>
          <w:sz w:val="21"/>
          <w:szCs w:val="21"/>
          <w:highlight w:val="none"/>
          <w:u w:val="none"/>
        </w:rPr>
        <w:t>招标公告</w:t>
      </w:r>
      <w:bookmarkEnd w:id="0"/>
    </w:p>
    <w:p w14:paraId="0FCA543B">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highlight w:val="none"/>
          <w:u w:val="none"/>
        </w:rPr>
        <w:t>招标文件关键内容信息公开</w:t>
      </w:r>
    </w:p>
    <w:p w14:paraId="51A21352">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1、招标条件</w:t>
      </w:r>
    </w:p>
    <w:p w14:paraId="2960B5D7">
      <w:pPr>
        <w:tabs>
          <w:tab w:val="left" w:pos="540"/>
        </w:tabs>
        <w:spacing w:line="360" w:lineRule="auto"/>
        <w:ind w:firstLine="420" w:firstLineChars="200"/>
        <w:rPr>
          <w:rFonts w:hint="eastAsia" w:ascii="宋体" w:hAnsi="宋体" w:eastAsia="宋体" w:cs="宋体"/>
          <w:szCs w:val="21"/>
          <w:highlight w:val="none"/>
        </w:rPr>
      </w:pPr>
      <w:bookmarkStart w:id="2" w:name="_Toc355376932"/>
      <w:r>
        <w:rPr>
          <w:rFonts w:hint="eastAsia" w:ascii="宋体" w:hAnsi="宋体" w:eastAsia="宋体" w:cs="宋体"/>
          <w:szCs w:val="21"/>
          <w:highlight w:val="none"/>
          <w:u w:val="none"/>
        </w:rPr>
        <w:t>本招标项目2024年榆树市乡村道路防汛隐患治理项目已由榆树市发展和改革局以榆发改审字〔2025〕67号文件批准建设，施工图设计已由榆树市交通运输局以榆交审字〔2025〕80号批准，项目业主为榆树市交通运输局公路管理段，建设资金来自申请上级资金及地方自筹，建设资金已落实，招标人为榆树市交通运输局公路管理段。项目已具备招标条件，现对该项目的施工监理进行公开招标。</w:t>
      </w:r>
    </w:p>
    <w:p w14:paraId="60CE7D2E">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2、项目概况与招标范围</w:t>
      </w:r>
      <w:bookmarkEnd w:id="2"/>
    </w:p>
    <w:p w14:paraId="297087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u w:val="none"/>
        </w:rPr>
      </w:pPr>
      <w:bookmarkStart w:id="3" w:name="_Toc257655328"/>
      <w:bookmarkStart w:id="4" w:name="_Toc436994095"/>
      <w:r>
        <w:rPr>
          <w:rFonts w:hint="eastAsia" w:ascii="宋体" w:hAnsi="宋体" w:eastAsia="宋体" w:cs="宋体"/>
          <w:szCs w:val="21"/>
          <w:highlight w:val="none"/>
          <w:u w:val="none"/>
        </w:rPr>
        <w:t>2.1建设地点：吉林省</w:t>
      </w:r>
      <w:r>
        <w:rPr>
          <w:rFonts w:hint="eastAsia" w:ascii="宋体" w:hAnsi="宋体" w:eastAsia="宋体" w:cs="宋体"/>
          <w:szCs w:val="21"/>
          <w:highlight w:val="none"/>
          <w:u w:val="none"/>
          <w:lang w:val="en-US" w:eastAsia="zh-CN"/>
        </w:rPr>
        <w:t>榆树市境内</w:t>
      </w:r>
      <w:r>
        <w:rPr>
          <w:rFonts w:hint="eastAsia" w:ascii="宋体" w:hAnsi="宋体" w:eastAsia="宋体" w:cs="宋体"/>
          <w:szCs w:val="21"/>
          <w:highlight w:val="none"/>
          <w:u w:val="none"/>
        </w:rPr>
        <w:t>。</w:t>
      </w:r>
    </w:p>
    <w:p w14:paraId="1C636318">
      <w:pPr>
        <w:spacing w:line="360" w:lineRule="auto"/>
        <w:ind w:left="210" w:leftChars="100" w:firstLine="252" w:firstLineChars="120"/>
        <w:rPr>
          <w:rFonts w:hint="default"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2.2规模：</w:t>
      </w:r>
      <w:r>
        <w:rPr>
          <w:rFonts w:hint="eastAsia" w:ascii="宋体" w:hAnsi="宋体" w:eastAsia="宋体" w:cs="宋体"/>
          <w:szCs w:val="21"/>
          <w:highlight w:val="none"/>
          <w:lang w:val="en-US" w:eastAsia="zh-CN"/>
        </w:rPr>
        <w:t>2024年榆树市乡村道路防汛隐患治理项目建设路线全长100.857km，主要建设内容包括农村公路、</w:t>
      </w:r>
      <w:r>
        <w:rPr>
          <w:rFonts w:hint="eastAsia" w:ascii="宋体" w:hAnsi="宋体" w:cs="宋体"/>
          <w:szCs w:val="21"/>
          <w:highlight w:val="none"/>
          <w:lang w:val="en-US" w:eastAsia="zh-CN"/>
        </w:rPr>
        <w:t>涵洞</w:t>
      </w:r>
      <w:r>
        <w:rPr>
          <w:rFonts w:hint="eastAsia" w:ascii="宋体" w:hAnsi="宋体" w:eastAsia="宋体" w:cs="宋体"/>
          <w:szCs w:val="21"/>
          <w:highlight w:val="none"/>
          <w:lang w:val="en-US" w:eastAsia="zh-CN"/>
        </w:rPr>
        <w:t>、平面交叉工程及交通安全设施等。</w:t>
      </w:r>
    </w:p>
    <w:p w14:paraId="529E246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u w:val="none"/>
        </w:rPr>
      </w:pPr>
      <w:r>
        <w:rPr>
          <w:rFonts w:hint="eastAsia" w:ascii="宋体" w:hAnsi="宋体" w:eastAsia="宋体" w:cs="宋体"/>
          <w:szCs w:val="21"/>
          <w:highlight w:val="none"/>
          <w:u w:val="none"/>
        </w:rPr>
        <w:t>2.3标段划分：本项目按</w:t>
      </w:r>
      <w:r>
        <w:rPr>
          <w:rFonts w:hint="eastAsia" w:ascii="宋体" w:hAnsi="宋体" w:eastAsia="宋体" w:cs="宋体"/>
          <w:szCs w:val="21"/>
          <w:highlight w:val="none"/>
          <w:u w:val="none"/>
          <w:lang w:eastAsia="zh-CN"/>
        </w:rPr>
        <w:t>一</w:t>
      </w:r>
      <w:r>
        <w:rPr>
          <w:rFonts w:hint="eastAsia" w:ascii="宋体" w:hAnsi="宋体" w:eastAsia="宋体" w:cs="宋体"/>
          <w:szCs w:val="21"/>
          <w:highlight w:val="none"/>
          <w:u w:val="none"/>
        </w:rPr>
        <w:t>级监理机构设置，划分为</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个标段，即：</w:t>
      </w:r>
      <w:r>
        <w:rPr>
          <w:rFonts w:hint="eastAsia" w:ascii="宋体" w:hAnsi="宋体" w:eastAsia="宋体" w:cs="宋体"/>
          <w:szCs w:val="21"/>
          <w:highlight w:val="none"/>
          <w:u w:val="none"/>
          <w:lang w:val="en-US" w:eastAsia="zh-CN"/>
        </w:rPr>
        <w:t>YS</w:t>
      </w:r>
      <w:r>
        <w:rPr>
          <w:rFonts w:hint="eastAsia" w:ascii="宋体" w:hAnsi="宋体" w:eastAsia="宋体" w:cs="宋体"/>
          <w:szCs w:val="21"/>
          <w:highlight w:val="none"/>
          <w:u w:val="none"/>
          <w:lang w:eastAsia="zh-CN"/>
        </w:rPr>
        <w:t>JL01</w:t>
      </w:r>
      <w:r>
        <w:rPr>
          <w:rFonts w:hint="eastAsia" w:ascii="宋体" w:hAnsi="宋体" w:eastAsia="宋体" w:cs="宋体"/>
          <w:szCs w:val="21"/>
          <w:highlight w:val="none"/>
          <w:u w:val="none"/>
        </w:rPr>
        <w:t>标段，为总监理工程师办公室（含</w:t>
      </w:r>
      <w:r>
        <w:rPr>
          <w:rFonts w:hint="eastAsia" w:ascii="宋体" w:hAnsi="宋体" w:eastAsia="宋体" w:cs="宋体"/>
          <w:szCs w:val="21"/>
          <w:highlight w:val="none"/>
          <w:u w:val="none"/>
          <w:lang w:eastAsia="zh-CN"/>
        </w:rPr>
        <w:t>工地</w:t>
      </w:r>
      <w:r>
        <w:rPr>
          <w:rFonts w:hint="eastAsia" w:ascii="宋体" w:hAnsi="宋体" w:eastAsia="宋体" w:cs="宋体"/>
          <w:szCs w:val="21"/>
          <w:highlight w:val="none"/>
          <w:u w:val="none"/>
        </w:rPr>
        <w:t>试验室）。</w:t>
      </w:r>
    </w:p>
    <w:p w14:paraId="2A1597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2.4</w:t>
      </w:r>
      <w:bookmarkEnd w:id="3"/>
      <w:bookmarkEnd w:id="4"/>
      <w:r>
        <w:rPr>
          <w:rFonts w:hint="eastAsia" w:ascii="宋体" w:hAnsi="宋体"/>
          <w:color w:val="auto"/>
          <w:szCs w:val="21"/>
          <w:highlight w:val="none"/>
        </w:rPr>
        <w:t>招</w:t>
      </w:r>
      <w:r>
        <w:rPr>
          <w:rFonts w:ascii="宋体" w:hAnsi="宋体"/>
          <w:color w:val="auto"/>
          <w:szCs w:val="21"/>
          <w:highlight w:val="none"/>
        </w:rPr>
        <w:t>标范围</w:t>
      </w:r>
      <w:r>
        <w:rPr>
          <w:rFonts w:hint="eastAsia" w:ascii="宋体" w:hAnsi="宋体"/>
          <w:color w:val="auto"/>
          <w:szCs w:val="21"/>
          <w:highlight w:val="none"/>
        </w:rPr>
        <w:t>：</w:t>
      </w:r>
      <w:r>
        <w:rPr>
          <w:rFonts w:hint="eastAsia" w:ascii="宋体" w:hAnsi="宋体" w:eastAsia="宋体" w:cs="宋体"/>
          <w:szCs w:val="21"/>
          <w:highlight w:val="none"/>
          <w:u w:val="none"/>
          <w:lang w:val="en-US" w:eastAsia="zh-CN"/>
        </w:rPr>
        <w:t>2024年榆树市乡村道路防汛隐患治理项目（一期）监理</w:t>
      </w:r>
      <w:r>
        <w:rPr>
          <w:rFonts w:hint="eastAsia" w:ascii="宋体" w:hAnsi="宋体"/>
          <w:color w:val="auto"/>
          <w:szCs w:val="21"/>
          <w:highlight w:val="none"/>
        </w:rPr>
        <w:t>任务。</w:t>
      </w:r>
    </w:p>
    <w:p w14:paraId="163D7977">
      <w:pPr>
        <w:spacing w:line="360" w:lineRule="auto"/>
        <w:ind w:left="210" w:leftChars="100" w:firstLine="252" w:firstLineChars="120"/>
        <w:rPr>
          <w:rFonts w:hint="eastAsia" w:ascii="宋体" w:hAnsi="宋体" w:eastAsia="宋体" w:cs="宋体"/>
          <w:szCs w:val="21"/>
          <w:highlight w:val="none"/>
        </w:rPr>
      </w:pPr>
      <w:r>
        <w:rPr>
          <w:rFonts w:hint="eastAsia" w:ascii="宋体" w:hAnsi="宋体"/>
          <w:color w:val="auto"/>
          <w:szCs w:val="21"/>
          <w:highlight w:val="none"/>
        </w:rPr>
        <w:t>2.5监</w:t>
      </w:r>
      <w:r>
        <w:rPr>
          <w:rFonts w:ascii="宋体" w:hAnsi="宋体"/>
          <w:color w:val="auto"/>
          <w:szCs w:val="21"/>
          <w:highlight w:val="none"/>
        </w:rPr>
        <w:t>理服务期限</w:t>
      </w:r>
      <w:r>
        <w:rPr>
          <w:rFonts w:hint="eastAsia" w:ascii="宋体" w:hAnsi="宋体"/>
          <w:color w:val="auto"/>
          <w:szCs w:val="21"/>
          <w:highlight w:val="none"/>
          <w:lang w:eastAsia="zh-CN"/>
        </w:rPr>
        <w:t>：</w:t>
      </w:r>
      <w:r>
        <w:rPr>
          <w:rFonts w:hint="eastAsia" w:ascii="宋体" w:hAnsi="宋体" w:cs="宋体"/>
          <w:color w:val="auto"/>
          <w:kern w:val="0"/>
          <w:szCs w:val="21"/>
          <w:highlight w:val="none"/>
          <w:u w:val="none"/>
          <w:lang w:val="en-US" w:eastAsia="zh-CN"/>
        </w:rPr>
        <w:t>766</w:t>
      </w:r>
      <w:r>
        <w:rPr>
          <w:rFonts w:hint="eastAsia" w:ascii="宋体" w:hAnsi="宋体" w:cs="宋体"/>
          <w:color w:val="auto"/>
          <w:kern w:val="0"/>
          <w:szCs w:val="21"/>
          <w:highlight w:val="none"/>
          <w:u w:val="none"/>
          <w:lang w:val="zh-CN"/>
        </w:rPr>
        <w:t>日</w:t>
      </w:r>
      <w:r>
        <w:rPr>
          <w:rFonts w:ascii="宋体" w:hAnsi="宋体" w:cs="宋体"/>
          <w:color w:val="auto"/>
          <w:kern w:val="0"/>
          <w:szCs w:val="21"/>
          <w:highlight w:val="none"/>
          <w:u w:val="none"/>
          <w:lang w:val="zh-CN"/>
        </w:rPr>
        <w:t>历天</w:t>
      </w:r>
      <w:r>
        <w:rPr>
          <w:rFonts w:hint="eastAsia" w:ascii="宋体" w:hAnsi="宋体" w:cs="宋体"/>
          <w:color w:val="auto"/>
          <w:kern w:val="0"/>
          <w:szCs w:val="21"/>
          <w:highlight w:val="none"/>
          <w:u w:val="none"/>
          <w:lang w:val="zh-CN"/>
        </w:rPr>
        <w:t>，</w:t>
      </w:r>
      <w:r>
        <w:rPr>
          <w:rFonts w:hint="eastAsia" w:ascii="宋体" w:hAnsi="宋体" w:eastAsia="宋体" w:cs="宋体"/>
          <w:i w:val="0"/>
          <w:iCs w:val="0"/>
          <w:caps w:val="0"/>
          <w:color w:val="000000"/>
          <w:spacing w:val="0"/>
          <w:sz w:val="21"/>
          <w:szCs w:val="21"/>
          <w:highlight w:val="none"/>
          <w:u w:val="none"/>
          <w:shd w:val="clear" w:color="auto" w:fill="FFFFFF"/>
        </w:rPr>
        <w:t>其中计划施工期</w:t>
      </w:r>
      <w:r>
        <w:rPr>
          <w:rFonts w:hint="eastAsia" w:ascii="宋体" w:hAnsi="宋体" w:eastAsia="宋体" w:cs="宋体"/>
          <w:i w:val="0"/>
          <w:iCs w:val="0"/>
          <w:caps w:val="0"/>
          <w:color w:val="000000"/>
          <w:spacing w:val="0"/>
          <w:sz w:val="21"/>
          <w:szCs w:val="21"/>
          <w:highlight w:val="none"/>
          <w:u w:val="none"/>
          <w:shd w:val="clear" w:color="auto" w:fill="FFFFFF"/>
          <w:lang w:val="en-US" w:eastAsia="zh-CN"/>
        </w:rPr>
        <w:t>36</w:t>
      </w:r>
      <w:r>
        <w:rPr>
          <w:rFonts w:hint="eastAsia" w:ascii="宋体" w:hAnsi="宋体" w:eastAsia="宋体" w:cs="宋体"/>
          <w:i w:val="0"/>
          <w:iCs w:val="0"/>
          <w:caps w:val="0"/>
          <w:color w:val="000000"/>
          <w:spacing w:val="0"/>
          <w:sz w:val="21"/>
          <w:szCs w:val="21"/>
          <w:highlight w:val="none"/>
          <w:u w:val="none"/>
          <w:shd w:val="clear" w:color="auto" w:fill="FFFFFF"/>
        </w:rPr>
        <w:t>日历天（</w:t>
      </w:r>
      <w:r>
        <w:rPr>
          <w:rFonts w:hint="eastAsia" w:ascii="宋体" w:hAnsi="宋体" w:cs="宋体"/>
          <w:szCs w:val="21"/>
          <w:highlight w:val="none"/>
        </w:rPr>
        <w:t>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25日</w:t>
      </w:r>
      <w:r>
        <w:rPr>
          <w:rFonts w:hint="eastAsia" w:ascii="宋体" w:hAnsi="宋体" w:cs="宋体"/>
          <w:szCs w:val="21"/>
          <w:highlight w:val="none"/>
          <w:lang w:eastAsia="zh-CN"/>
        </w:rPr>
        <w:t>—</w:t>
      </w:r>
      <w:r>
        <w:rPr>
          <w:rFonts w:hint="eastAsia" w:ascii="宋体" w:hAnsi="宋体" w:cs="宋体"/>
          <w:szCs w:val="21"/>
          <w:highlight w:val="none"/>
        </w:rPr>
        <w:t>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w:t>
      </w:r>
      <w:r>
        <w:rPr>
          <w:rFonts w:hint="eastAsia" w:ascii="宋体" w:hAnsi="宋体" w:eastAsia="宋体" w:cs="宋体"/>
          <w:i w:val="0"/>
          <w:iCs w:val="0"/>
          <w:caps w:val="0"/>
          <w:color w:val="000000"/>
          <w:spacing w:val="0"/>
          <w:sz w:val="21"/>
          <w:szCs w:val="21"/>
          <w:highlight w:val="none"/>
          <w:u w:val="none"/>
          <w:shd w:val="clear" w:color="auto" w:fill="FFFFFF"/>
        </w:rPr>
        <w:t>）</w:t>
      </w:r>
      <w:r>
        <w:rPr>
          <w:rFonts w:hint="eastAsia" w:ascii="宋体" w:hAnsi="宋体"/>
          <w:bCs/>
          <w:snapToGrid w:val="0"/>
          <w:color w:val="auto"/>
          <w:kern w:val="0"/>
          <w:szCs w:val="21"/>
          <w:highlight w:val="none"/>
          <w:u w:val="none"/>
        </w:rPr>
        <w:t>，缺陷责任期：</w:t>
      </w:r>
      <w:r>
        <w:rPr>
          <w:rFonts w:hint="eastAsia" w:ascii="宋体" w:hAnsi="宋体" w:cs="宋体"/>
          <w:color w:val="auto"/>
          <w:kern w:val="0"/>
          <w:szCs w:val="21"/>
          <w:highlight w:val="none"/>
          <w:u w:val="none"/>
          <w:lang w:val="en-US" w:eastAsia="zh-CN"/>
        </w:rPr>
        <w:t>730</w:t>
      </w:r>
      <w:r>
        <w:rPr>
          <w:rFonts w:hint="eastAsia" w:ascii="宋体" w:hAnsi="宋体" w:cs="宋体"/>
          <w:color w:val="auto"/>
          <w:kern w:val="0"/>
          <w:szCs w:val="21"/>
          <w:highlight w:val="none"/>
          <w:u w:val="none"/>
          <w:lang w:val="zh-CN"/>
        </w:rPr>
        <w:t>日历</w:t>
      </w:r>
      <w:r>
        <w:rPr>
          <w:rFonts w:ascii="宋体" w:hAnsi="宋体" w:cs="宋体"/>
          <w:color w:val="auto"/>
          <w:kern w:val="0"/>
          <w:szCs w:val="21"/>
          <w:highlight w:val="none"/>
          <w:u w:val="none"/>
          <w:lang w:val="zh-CN"/>
        </w:rPr>
        <w:t>天</w:t>
      </w:r>
      <w:r>
        <w:rPr>
          <w:rFonts w:hint="eastAsia" w:ascii="宋体" w:hAnsi="宋体" w:eastAsia="宋体" w:cs="宋体"/>
          <w:szCs w:val="21"/>
          <w:highlight w:val="none"/>
        </w:rPr>
        <w:t>。</w:t>
      </w:r>
    </w:p>
    <w:p w14:paraId="66EB8F90">
      <w:pPr>
        <w:tabs>
          <w:tab w:val="left" w:pos="709"/>
        </w:tabs>
        <w:spacing w:line="360" w:lineRule="auto"/>
        <w:rPr>
          <w:rFonts w:hint="eastAsia" w:ascii="宋体" w:hAnsi="宋体" w:eastAsia="宋体" w:cs="宋体"/>
          <w:b/>
          <w:szCs w:val="21"/>
          <w:highlight w:val="none"/>
          <w:lang w:eastAsia="zh-CN"/>
        </w:rPr>
      </w:pPr>
      <w:r>
        <w:rPr>
          <w:rFonts w:hint="eastAsia" w:ascii="宋体" w:hAnsi="宋体" w:eastAsia="宋体" w:cs="宋体"/>
          <w:b/>
          <w:szCs w:val="21"/>
          <w:highlight w:val="none"/>
        </w:rPr>
        <w:t>3、投标人资格要求</w:t>
      </w:r>
    </w:p>
    <w:p w14:paraId="17EA5AE7">
      <w:pPr>
        <w:spacing w:line="360" w:lineRule="exact"/>
        <w:ind w:firstLine="420" w:firstLineChars="200"/>
        <w:rPr>
          <w:rFonts w:hint="eastAsia" w:ascii="宋体" w:hAnsi="宋体" w:cs="Times New Roman"/>
          <w:color w:val="auto"/>
          <w:szCs w:val="21"/>
          <w:highlight w:val="none"/>
        </w:rPr>
      </w:pPr>
      <w:bookmarkStart w:id="5" w:name="_Toc455238559"/>
      <w:bookmarkStart w:id="6" w:name="_Toc452639770"/>
      <w:bookmarkStart w:id="7" w:name="_Toc452639674"/>
      <w:bookmarkStart w:id="8" w:name="_Toc359658167"/>
      <w:r>
        <w:rPr>
          <w:rFonts w:hint="eastAsia" w:ascii="宋体" w:hAnsi="宋体" w:cs="Times New Roman"/>
          <w:color w:val="auto"/>
          <w:szCs w:val="21"/>
          <w:highlight w:val="none"/>
        </w:rPr>
        <w:t>3.1本次招标要求投标人须具备以下资质和业绩，并在人员等方面具备相应的施工监理能力：</w:t>
      </w:r>
    </w:p>
    <w:tbl>
      <w:tblPr>
        <w:tblStyle w:val="13"/>
        <w:tblpPr w:leftFromText="180" w:rightFromText="180" w:vertAnchor="text" w:horzAnchor="margin" w:tblpX="467" w:tblpY="78"/>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390"/>
        <w:gridCol w:w="4485"/>
      </w:tblGrid>
      <w:tr w14:paraId="3AF0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0" w:type="dxa"/>
            <w:noWrap w:val="0"/>
            <w:vAlign w:val="center"/>
          </w:tcPr>
          <w:p w14:paraId="0DBBF99F">
            <w:pPr>
              <w:spacing w:line="36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标段</w:t>
            </w:r>
          </w:p>
        </w:tc>
        <w:tc>
          <w:tcPr>
            <w:tcW w:w="3390" w:type="dxa"/>
            <w:noWrap w:val="0"/>
            <w:vAlign w:val="center"/>
          </w:tcPr>
          <w:p w14:paraId="3CE313B2">
            <w:pPr>
              <w:spacing w:line="36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资质要求</w:t>
            </w:r>
          </w:p>
        </w:tc>
        <w:tc>
          <w:tcPr>
            <w:tcW w:w="4485" w:type="dxa"/>
            <w:noWrap w:val="0"/>
            <w:vAlign w:val="center"/>
          </w:tcPr>
          <w:p w14:paraId="1E87D7B8">
            <w:pPr>
              <w:spacing w:line="36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业绩要求</w:t>
            </w:r>
          </w:p>
        </w:tc>
      </w:tr>
      <w:tr w14:paraId="65FF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230" w:type="dxa"/>
            <w:noWrap w:val="0"/>
            <w:vAlign w:val="center"/>
          </w:tcPr>
          <w:p w14:paraId="2D4FBE80">
            <w:pPr>
              <w:spacing w:line="360" w:lineRule="exact"/>
              <w:jc w:val="center"/>
              <w:rPr>
                <w:rFonts w:hint="eastAsia" w:ascii="微软雅黑" w:hAnsi="微软雅黑" w:cs="Times New Roman"/>
                <w:color w:val="auto"/>
                <w:szCs w:val="21"/>
                <w:highlight w:val="none"/>
                <w:shd w:val="clear" w:color="auto" w:fill="FFFFFF"/>
              </w:rPr>
            </w:pPr>
            <w:r>
              <w:rPr>
                <w:rFonts w:hint="eastAsia" w:ascii="宋体" w:hAnsi="宋体" w:eastAsia="宋体" w:cs="Times New Roman"/>
                <w:color w:val="auto"/>
                <w:szCs w:val="21"/>
                <w:highlight w:val="none"/>
                <w:lang w:val="en-US" w:eastAsia="zh-CN"/>
              </w:rPr>
              <w:t>YS</w:t>
            </w:r>
            <w:r>
              <w:rPr>
                <w:rFonts w:hint="eastAsia" w:ascii="宋体" w:hAnsi="宋体" w:eastAsia="宋体" w:cs="Times New Roman"/>
                <w:color w:val="auto"/>
                <w:szCs w:val="21"/>
                <w:highlight w:val="none"/>
                <w:lang w:eastAsia="zh-CN"/>
              </w:rPr>
              <w:t>JL01</w:t>
            </w:r>
          </w:p>
        </w:tc>
        <w:tc>
          <w:tcPr>
            <w:tcW w:w="3390" w:type="dxa"/>
            <w:noWrap w:val="0"/>
            <w:vAlign w:val="center"/>
          </w:tcPr>
          <w:p w14:paraId="2D99909B">
            <w:pPr>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具有交通运输主管部门核发的公路工程专业乙级及以上监理资质证书</w:t>
            </w:r>
          </w:p>
        </w:tc>
        <w:tc>
          <w:tcPr>
            <w:tcW w:w="4485" w:type="dxa"/>
            <w:noWrap w:val="0"/>
            <w:vAlign w:val="center"/>
          </w:tcPr>
          <w:p w14:paraId="3171C84C">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20</w:t>
            </w:r>
            <w:r>
              <w:rPr>
                <w:rFonts w:hint="eastAsia"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rPr>
              <w:t>年1月1日后，</w:t>
            </w:r>
            <w:r>
              <w:rPr>
                <w:rFonts w:hint="eastAsia" w:ascii="宋体" w:hAnsi="宋体" w:eastAsia="宋体" w:cs="Times New Roman"/>
                <w:color w:val="auto"/>
                <w:szCs w:val="21"/>
                <w:highlight w:val="none"/>
                <w:lang w:val="en-US" w:eastAsia="zh-CN"/>
              </w:rPr>
              <w:t>至少完成一项四级或四级以上公路</w:t>
            </w:r>
            <w:r>
              <w:rPr>
                <w:rFonts w:hint="eastAsia" w:ascii="宋体" w:hAnsi="宋体" w:eastAsia="宋体" w:cs="Times New Roman"/>
                <w:color w:val="auto"/>
                <w:szCs w:val="21"/>
                <w:highlight w:val="none"/>
              </w:rPr>
              <w:t>的施工监理业绩</w:t>
            </w:r>
            <w:r>
              <w:rPr>
                <w:rFonts w:hint="eastAsia" w:ascii="宋体" w:hAnsi="宋体" w:eastAsia="宋体" w:cs="Times New Roman"/>
                <w:color w:val="auto"/>
                <w:szCs w:val="21"/>
                <w:highlight w:val="none"/>
                <w:lang w:eastAsia="zh-CN"/>
              </w:rPr>
              <w:t>。</w:t>
            </w:r>
          </w:p>
        </w:tc>
      </w:tr>
    </w:tbl>
    <w:p w14:paraId="037F5C69">
      <w:pPr>
        <w:keepNext w:val="0"/>
        <w:keepLines w:val="0"/>
        <w:pageBreakBefore w:val="0"/>
        <w:kinsoku/>
        <w:overflowPunct/>
        <w:topLinePunct w:val="0"/>
        <w:autoSpaceDE/>
        <w:autoSpaceDN/>
        <w:bidi w:val="0"/>
        <w:spacing w:line="360" w:lineRule="exact"/>
        <w:ind w:firstLine="420" w:firstLineChars="200"/>
        <w:textAlignment w:val="auto"/>
        <w:rPr>
          <w:rFonts w:hint="eastAsia" w:ascii="楷体" w:hAnsi="楷体" w:eastAsia="楷体" w:cs="Times New Roman"/>
          <w:color w:val="auto"/>
          <w:szCs w:val="21"/>
          <w:highlight w:val="none"/>
          <w:lang w:eastAsia="zh-CN"/>
        </w:rPr>
      </w:pPr>
      <w:r>
        <w:rPr>
          <w:rFonts w:hint="eastAsia" w:ascii="楷体" w:hAnsi="楷体" w:eastAsia="楷体" w:cs="Times New Roman"/>
          <w:color w:val="auto"/>
          <w:szCs w:val="21"/>
          <w:highlight w:val="none"/>
        </w:rPr>
        <w:t>注：</w:t>
      </w:r>
      <w:r>
        <w:rPr>
          <w:rFonts w:hint="eastAsia" w:ascii="楷体" w:hAnsi="楷体" w:eastAsia="楷体" w:cs="Times New Roman"/>
          <w:color w:val="auto"/>
          <w:szCs w:val="21"/>
          <w:highlight w:val="none"/>
          <w:lang w:val="en-US" w:eastAsia="zh-CN"/>
        </w:rPr>
        <w:t>施工监理</w:t>
      </w:r>
      <w:r>
        <w:rPr>
          <w:rFonts w:hint="eastAsia" w:ascii="楷体" w:hAnsi="楷体" w:eastAsia="楷体" w:cs="Times New Roman"/>
          <w:color w:val="auto"/>
          <w:szCs w:val="21"/>
          <w:highlight w:val="none"/>
        </w:rPr>
        <w:t>业绩应为国内新建或改扩建或养护工程施工</w:t>
      </w:r>
      <w:r>
        <w:rPr>
          <w:rFonts w:hint="eastAsia" w:ascii="楷体" w:hAnsi="楷体" w:eastAsia="楷体" w:cs="Times New Roman"/>
          <w:color w:val="auto"/>
          <w:szCs w:val="21"/>
          <w:highlight w:val="none"/>
          <w:lang w:val="en-US" w:eastAsia="zh-CN"/>
        </w:rPr>
        <w:t>监理</w:t>
      </w:r>
      <w:r>
        <w:rPr>
          <w:rFonts w:hint="eastAsia" w:ascii="楷体" w:hAnsi="楷体" w:eastAsia="楷体" w:cs="Times New Roman"/>
          <w:color w:val="auto"/>
          <w:szCs w:val="21"/>
          <w:highlight w:val="none"/>
        </w:rPr>
        <w:t>业绩，国外工程业绩均不能作为本次招标的企业业绩和个人业绩。</w:t>
      </w:r>
    </w:p>
    <w:p w14:paraId="18839DD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rPr>
        <w:t>投标人应进入交通运输部“</w:t>
      </w:r>
      <w:r>
        <w:rPr>
          <w:rFonts w:hint="eastAsia" w:ascii="宋体" w:hAnsi="宋体" w:cs="Times New Roman"/>
          <w:color w:val="000000"/>
          <w:szCs w:val="21"/>
          <w:highlight w:val="none"/>
        </w:rPr>
        <w:t>全国公路建设市场</w:t>
      </w:r>
      <w:r>
        <w:rPr>
          <w:rFonts w:hint="eastAsia" w:ascii="宋体" w:hAnsi="宋体" w:cs="Times New Roman"/>
          <w:color w:val="000000"/>
          <w:szCs w:val="21"/>
          <w:highlight w:val="none"/>
          <w:lang w:val="en-US" w:eastAsia="zh-CN"/>
        </w:rPr>
        <w:t>监督</w:t>
      </w:r>
      <w:r>
        <w:rPr>
          <w:rFonts w:hint="eastAsia" w:ascii="宋体" w:hAnsi="宋体" w:cs="Times New Roman"/>
          <w:color w:val="000000"/>
          <w:szCs w:val="21"/>
          <w:highlight w:val="none"/>
        </w:rPr>
        <w:t>管理系统（https://hwdms.mot.gov.cn/BMWebSite）</w:t>
      </w:r>
      <w:r>
        <w:rPr>
          <w:rFonts w:hint="eastAsia" w:ascii="宋体" w:hAnsi="宋体" w:cs="Times New Roman"/>
          <w:color w:val="auto"/>
          <w:szCs w:val="21"/>
          <w:highlight w:val="none"/>
        </w:rPr>
        <w:t>”中的公路工程施工监理资质企业名录，且投标人名称和资质与该名录中的相应企业名称和资质完全一致。</w:t>
      </w:r>
    </w:p>
    <w:p w14:paraId="175F3E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Autospacing="0" w:after="0" w:afterAutospacing="0" w:line="360" w:lineRule="exact"/>
        <w:ind w:left="0" w:right="0" w:firstLine="420"/>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3.2本次招标不接受联合体投标。</w:t>
      </w:r>
    </w:p>
    <w:p w14:paraId="326BFBB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3.</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与招标人存在利害关系可能影响招标公正性的单位，不得参加投标。单位负责人为同一人或存在控股、管理关系的不同单位，不得同时参加同一标段投标，否则，相关投标均无效。</w:t>
      </w:r>
    </w:p>
    <w:p w14:paraId="2693A8F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Times New Roman"/>
          <w:color w:val="auto"/>
          <w:szCs w:val="21"/>
          <w:highlight w:val="none"/>
        </w:rPr>
        <w:t>3.</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rPr>
        <w:t>在“信用中国”网站（http://www.creditchina.gov.cn）中被列入失信被执行人名单的投标人，不得参加投标。</w:t>
      </w:r>
      <w:bookmarkEnd w:id="5"/>
      <w:bookmarkEnd w:id="6"/>
      <w:bookmarkEnd w:id="7"/>
    </w:p>
    <w:p w14:paraId="55252B11">
      <w:pPr>
        <w:shd w:val="clear"/>
        <w:tabs>
          <w:tab w:val="left" w:pos="709"/>
        </w:tabs>
        <w:spacing w:line="360" w:lineRule="auto"/>
        <w:rPr>
          <w:rFonts w:ascii="宋体" w:hAnsi="宋体"/>
          <w:b/>
          <w:szCs w:val="21"/>
          <w:highlight w:val="none"/>
        </w:rPr>
      </w:pPr>
      <w:r>
        <w:rPr>
          <w:rFonts w:hint="eastAsia" w:ascii="宋体" w:hAnsi="宋体"/>
          <w:b/>
          <w:szCs w:val="21"/>
          <w:highlight w:val="none"/>
        </w:rPr>
        <w:t>4、评标办法</w:t>
      </w:r>
    </w:p>
    <w:p w14:paraId="57B7656B">
      <w:pPr>
        <w:pageBreakBefore w:val="0"/>
        <w:kinsoku/>
        <w:overflowPunct/>
        <w:topLinePunct w:val="0"/>
        <w:bidi w:val="0"/>
        <w:adjustRightInd w:val="0"/>
        <w:snapToGrid w:val="0"/>
        <w:spacing w:line="360" w:lineRule="exact"/>
        <w:ind w:left="0" w:leftChars="0" w:right="0" w:firstLine="0" w:firstLineChars="0"/>
        <w:rPr>
          <w:rFonts w:hint="eastAsia" w:ascii="宋体" w:hAnsi="宋体" w:cs="宋体"/>
          <w:bCs/>
          <w:kern w:val="0"/>
          <w:szCs w:val="21"/>
          <w:highlight w:val="none"/>
        </w:rPr>
      </w:pPr>
      <w:r>
        <w:rPr>
          <w:rFonts w:hint="eastAsia" w:ascii="宋体" w:hAnsi="宋体" w:cs="宋体"/>
          <w:bCs/>
          <w:kern w:val="0"/>
          <w:szCs w:val="21"/>
          <w:highlight w:val="none"/>
        </w:rPr>
        <w:t>本次评标采用双信封形式</w:t>
      </w:r>
      <w:r>
        <w:rPr>
          <w:rFonts w:hint="eastAsia" w:ascii="宋体" w:hAnsi="宋体" w:cs="宋体"/>
          <w:bCs/>
          <w:kern w:val="0"/>
          <w:szCs w:val="21"/>
          <w:highlight w:val="none"/>
          <w:lang w:eastAsia="zh-CN"/>
        </w:rPr>
        <w:t>综合评分</w:t>
      </w:r>
      <w:r>
        <w:rPr>
          <w:rFonts w:hint="eastAsia" w:ascii="宋体" w:hAnsi="宋体" w:cs="宋体"/>
          <w:bCs/>
          <w:kern w:val="0"/>
          <w:szCs w:val="21"/>
          <w:highlight w:val="none"/>
        </w:rPr>
        <w:t>法（资格后审）。</w:t>
      </w:r>
    </w:p>
    <w:p w14:paraId="44AFD60D">
      <w:pPr>
        <w:rPr>
          <w:rFonts w:hint="eastAsia" w:ascii="宋体" w:hAnsi="宋体" w:eastAsia="宋体" w:cs="宋体"/>
          <w:szCs w:val="21"/>
          <w:highlight w:val="none"/>
        </w:rPr>
      </w:pPr>
      <w:r>
        <w:rPr>
          <w:rFonts w:hint="eastAsia" w:ascii="宋体" w:hAnsi="宋体" w:eastAsia="宋体" w:cs="宋体"/>
          <w:szCs w:val="21"/>
          <w:highlight w:val="none"/>
        </w:rPr>
        <w:br w:type="page"/>
      </w:r>
    </w:p>
    <w:bookmarkEnd w:id="1"/>
    <w:bookmarkEnd w:id="8"/>
    <w:p w14:paraId="0D547A79">
      <w:pPr>
        <w:adjustRightInd w:val="0"/>
        <w:snapToGrid w:val="0"/>
        <w:rPr>
          <w:rFonts w:hint="eastAsia"/>
          <w:b/>
          <w:color w:val="auto"/>
          <w:sz w:val="28"/>
          <w:szCs w:val="28"/>
          <w:highlight w:val="none"/>
        </w:rPr>
      </w:pPr>
      <w:bookmarkStart w:id="9" w:name="_Toc462671337"/>
      <w:bookmarkStart w:id="10" w:name="_Toc498955117"/>
      <w:r>
        <w:rPr>
          <w:rFonts w:hint="eastAsia"/>
          <w:b/>
          <w:color w:val="auto"/>
          <w:sz w:val="28"/>
          <w:szCs w:val="28"/>
          <w:highlight w:val="none"/>
        </w:rPr>
        <w:t>投标人须知前附表</w:t>
      </w:r>
      <w:bookmarkEnd w:id="9"/>
      <w:bookmarkEnd w:id="10"/>
      <w:r>
        <w:rPr>
          <w:b/>
          <w:color w:val="auto"/>
          <w:sz w:val="28"/>
          <w:szCs w:val="28"/>
          <w:highlight w:val="none"/>
          <w:vertAlign w:val="superscript"/>
        </w:rPr>
        <w:footnoteReference w:id="0"/>
      </w:r>
    </w:p>
    <w:tbl>
      <w:tblPr>
        <w:tblStyle w:val="13"/>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817"/>
        <w:gridCol w:w="3"/>
        <w:gridCol w:w="7075"/>
      </w:tblGrid>
      <w:tr w14:paraId="3C56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blHeader/>
          <w:jc w:val="center"/>
        </w:trPr>
        <w:tc>
          <w:tcPr>
            <w:tcW w:w="876" w:type="dxa"/>
            <w:noWrap w:val="0"/>
            <w:vAlign w:val="center"/>
          </w:tcPr>
          <w:p w14:paraId="3CB08658">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条款号</w:t>
            </w:r>
          </w:p>
        </w:tc>
        <w:tc>
          <w:tcPr>
            <w:tcW w:w="1817" w:type="dxa"/>
            <w:noWrap w:val="0"/>
            <w:vAlign w:val="center"/>
          </w:tcPr>
          <w:p w14:paraId="3BAFA9E6">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条款名称</w:t>
            </w:r>
          </w:p>
        </w:tc>
        <w:tc>
          <w:tcPr>
            <w:tcW w:w="7078" w:type="dxa"/>
            <w:gridSpan w:val="2"/>
            <w:noWrap w:val="0"/>
            <w:vAlign w:val="center"/>
          </w:tcPr>
          <w:p w14:paraId="1313CBBF">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编  列  内  容</w:t>
            </w:r>
          </w:p>
        </w:tc>
      </w:tr>
      <w:tr w14:paraId="1FF7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76" w:type="dxa"/>
            <w:noWrap w:val="0"/>
            <w:vAlign w:val="center"/>
          </w:tcPr>
          <w:p w14:paraId="4B2E1646">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1.1.2</w:t>
            </w:r>
          </w:p>
        </w:tc>
        <w:tc>
          <w:tcPr>
            <w:tcW w:w="1817" w:type="dxa"/>
            <w:noWrap w:val="0"/>
            <w:vAlign w:val="center"/>
          </w:tcPr>
          <w:p w14:paraId="45A0BA2F">
            <w:pPr>
              <w:adjustRightInd w:val="0"/>
              <w:jc w:val="center"/>
              <w:rPr>
                <w:color w:val="auto"/>
                <w:sz w:val="21"/>
                <w:szCs w:val="21"/>
                <w:highlight w:val="none"/>
              </w:rPr>
            </w:pPr>
            <w:r>
              <w:rPr>
                <w:rFonts w:hAnsi="宋体"/>
                <w:color w:val="auto"/>
                <w:sz w:val="21"/>
                <w:szCs w:val="21"/>
                <w:highlight w:val="none"/>
              </w:rPr>
              <w:t>招标人</w:t>
            </w:r>
          </w:p>
        </w:tc>
        <w:tc>
          <w:tcPr>
            <w:tcW w:w="7078" w:type="dxa"/>
            <w:gridSpan w:val="2"/>
            <w:noWrap w:val="0"/>
            <w:vAlign w:val="center"/>
          </w:tcPr>
          <w:p w14:paraId="33BC9BAE">
            <w:pPr>
              <w:autoSpaceDE w:val="0"/>
              <w:autoSpaceDN w:val="0"/>
              <w:adjustRightInd w:val="0"/>
              <w:rPr>
                <w:rFonts w:hint="eastAsia" w:ascii="宋体" w:hAnsi="宋体" w:eastAsia="宋体"/>
                <w:sz w:val="21"/>
                <w:szCs w:val="21"/>
                <w:highlight w:val="none"/>
                <w:lang w:eastAsia="zh-CN"/>
              </w:rPr>
            </w:pPr>
            <w:r>
              <w:rPr>
                <w:rFonts w:hint="eastAsia" w:ascii="宋体" w:hAnsi="宋体"/>
                <w:sz w:val="21"/>
                <w:szCs w:val="21"/>
                <w:highlight w:val="none"/>
              </w:rPr>
              <w:t>名</w:t>
            </w:r>
            <w:r>
              <w:rPr>
                <w:rFonts w:ascii="宋体" w:hAnsi="宋体"/>
                <w:sz w:val="21"/>
                <w:szCs w:val="21"/>
                <w:highlight w:val="none"/>
              </w:rPr>
              <w:t xml:space="preserve">  </w:t>
            </w:r>
            <w:r>
              <w:rPr>
                <w:rFonts w:hint="eastAsia" w:ascii="宋体" w:hAnsi="宋体"/>
                <w:sz w:val="21"/>
                <w:szCs w:val="21"/>
                <w:highlight w:val="none"/>
              </w:rPr>
              <w:t>称：</w:t>
            </w:r>
            <w:r>
              <w:rPr>
                <w:rFonts w:hint="eastAsia" w:ascii="宋体" w:hAnsi="宋体"/>
                <w:sz w:val="21"/>
                <w:szCs w:val="21"/>
                <w:highlight w:val="none"/>
                <w:lang w:eastAsia="zh-CN"/>
              </w:rPr>
              <w:t>榆树市交通运输局公路管理段</w:t>
            </w:r>
          </w:p>
          <w:p w14:paraId="7AF8C637">
            <w:pPr>
              <w:autoSpaceDE w:val="0"/>
              <w:autoSpaceDN w:val="0"/>
              <w:adjustRightInd w:val="0"/>
              <w:rPr>
                <w:rFonts w:ascii="宋体" w:hAnsi="宋体"/>
                <w:sz w:val="21"/>
                <w:szCs w:val="21"/>
                <w:highlight w:val="none"/>
              </w:rPr>
            </w:pPr>
            <w:r>
              <w:rPr>
                <w:rFonts w:hint="eastAsia" w:ascii="宋体" w:hAnsi="宋体"/>
                <w:sz w:val="21"/>
                <w:szCs w:val="21"/>
                <w:highlight w:val="none"/>
              </w:rPr>
              <w:t>地</w:t>
            </w:r>
            <w:r>
              <w:rPr>
                <w:rFonts w:ascii="宋体" w:hAnsi="宋体"/>
                <w:sz w:val="21"/>
                <w:szCs w:val="21"/>
                <w:highlight w:val="none"/>
              </w:rPr>
              <w:t xml:space="preserve">  </w:t>
            </w:r>
            <w:r>
              <w:rPr>
                <w:rFonts w:hint="eastAsia" w:ascii="宋体" w:hAnsi="宋体"/>
                <w:sz w:val="21"/>
                <w:szCs w:val="21"/>
                <w:highlight w:val="none"/>
              </w:rPr>
              <w:t>址：</w:t>
            </w:r>
            <w:r>
              <w:rPr>
                <w:rFonts w:hint="eastAsia" w:ascii="宋体" w:hAnsi="宋体" w:cs="宋体"/>
                <w:kern w:val="0"/>
                <w:sz w:val="21"/>
                <w:szCs w:val="21"/>
                <w:highlight w:val="none"/>
                <w:lang w:bidi="zh-CN"/>
              </w:rPr>
              <w:t>榆树市府前路</w:t>
            </w:r>
          </w:p>
          <w:p w14:paraId="69901DAE">
            <w:pPr>
              <w:autoSpaceDE w:val="0"/>
              <w:autoSpaceDN w:val="0"/>
              <w:adjustRightInd w:val="0"/>
              <w:rPr>
                <w:rFonts w:hint="default" w:ascii="宋体" w:hAnsi="宋体" w:eastAsia="宋体"/>
                <w:sz w:val="21"/>
                <w:szCs w:val="21"/>
                <w:highlight w:val="none"/>
                <w:lang w:val="en-US" w:eastAsia="zh-CN"/>
              </w:rPr>
            </w:pPr>
            <w:r>
              <w:rPr>
                <w:rFonts w:hint="eastAsia" w:ascii="宋体" w:hAnsi="宋体"/>
                <w:sz w:val="21"/>
                <w:szCs w:val="21"/>
                <w:highlight w:val="none"/>
              </w:rPr>
              <w:t>联系人：</w:t>
            </w:r>
            <w:r>
              <w:rPr>
                <w:rFonts w:hint="eastAsia" w:ascii="宋体" w:hAnsi="宋体"/>
                <w:sz w:val="21"/>
                <w:szCs w:val="21"/>
                <w:highlight w:val="none"/>
                <w:lang w:val="en-US" w:eastAsia="zh-CN"/>
              </w:rPr>
              <w:t>毕云龙</w:t>
            </w:r>
          </w:p>
          <w:p w14:paraId="5067B10C">
            <w:pPr>
              <w:autoSpaceDE w:val="0"/>
              <w:autoSpaceDN w:val="0"/>
              <w:adjustRightInd w:val="0"/>
              <w:rPr>
                <w:rFonts w:hint="default" w:ascii="宋体" w:hAnsi="宋体" w:eastAsia="宋体"/>
                <w:color w:val="auto"/>
                <w:sz w:val="21"/>
                <w:szCs w:val="21"/>
                <w:highlight w:val="none"/>
                <w:lang w:val="en-US" w:eastAsia="zh-CN"/>
              </w:rPr>
            </w:pPr>
            <w:r>
              <w:rPr>
                <w:rFonts w:hint="eastAsia" w:ascii="宋体" w:hAnsi="宋体"/>
                <w:sz w:val="21"/>
                <w:szCs w:val="21"/>
                <w:highlight w:val="none"/>
              </w:rPr>
              <w:t>联系电话：</w:t>
            </w:r>
            <w:r>
              <w:rPr>
                <w:rFonts w:hint="eastAsia" w:ascii="宋体" w:hAnsi="宋体"/>
                <w:sz w:val="21"/>
                <w:szCs w:val="21"/>
                <w:highlight w:val="none"/>
                <w:lang w:val="en-US" w:eastAsia="zh-CN"/>
              </w:rPr>
              <w:t>18043580899</w:t>
            </w:r>
          </w:p>
        </w:tc>
      </w:tr>
      <w:tr w14:paraId="005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76" w:type="dxa"/>
            <w:noWrap w:val="0"/>
            <w:vAlign w:val="center"/>
          </w:tcPr>
          <w:p w14:paraId="38E5A4EC">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1.1.3</w:t>
            </w:r>
          </w:p>
        </w:tc>
        <w:tc>
          <w:tcPr>
            <w:tcW w:w="1817" w:type="dxa"/>
            <w:noWrap w:val="0"/>
            <w:vAlign w:val="center"/>
          </w:tcPr>
          <w:p w14:paraId="0344D5B0">
            <w:pPr>
              <w:adjustRightInd w:val="0"/>
              <w:jc w:val="center"/>
              <w:rPr>
                <w:color w:val="auto"/>
                <w:sz w:val="21"/>
                <w:szCs w:val="21"/>
                <w:highlight w:val="none"/>
              </w:rPr>
            </w:pPr>
            <w:r>
              <w:rPr>
                <w:rFonts w:hAnsi="宋体"/>
                <w:color w:val="auto"/>
                <w:sz w:val="21"/>
                <w:szCs w:val="21"/>
                <w:highlight w:val="none"/>
              </w:rPr>
              <w:t>招标代理机构</w:t>
            </w:r>
          </w:p>
        </w:tc>
        <w:tc>
          <w:tcPr>
            <w:tcW w:w="7078" w:type="dxa"/>
            <w:gridSpan w:val="2"/>
            <w:noWrap w:val="0"/>
            <w:vAlign w:val="center"/>
          </w:tcPr>
          <w:p w14:paraId="03A9E31C">
            <w:pPr>
              <w:autoSpaceDE w:val="0"/>
              <w:autoSpaceDN w:val="0"/>
              <w:adjustRightInd w:val="0"/>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招标代理机构:吉林省</w:t>
            </w:r>
            <w:r>
              <w:rPr>
                <w:rFonts w:hint="eastAsia" w:ascii="宋体" w:hAnsi="宋体" w:eastAsia="宋体" w:cs="宋体"/>
                <w:kern w:val="0"/>
                <w:sz w:val="21"/>
                <w:szCs w:val="21"/>
                <w:highlight w:val="none"/>
                <w:lang w:val="en-US" w:eastAsia="zh-CN" w:bidi="zh-CN"/>
              </w:rPr>
              <w:t>国渡项目管理有限公司</w:t>
            </w:r>
          </w:p>
          <w:p w14:paraId="0B5376C7">
            <w:pPr>
              <w:autoSpaceDE w:val="0"/>
              <w:autoSpaceDN w:val="0"/>
              <w:adjustRightInd w:val="0"/>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zh-CN" w:eastAsia="zh-CN" w:bidi="zh-CN"/>
              </w:rPr>
              <w:t>地址:</w:t>
            </w:r>
            <w:r>
              <w:rPr>
                <w:rFonts w:hint="eastAsia" w:ascii="宋体" w:hAnsi="宋体" w:eastAsia="宋体" w:cs="宋体"/>
                <w:kern w:val="0"/>
                <w:sz w:val="21"/>
                <w:szCs w:val="21"/>
                <w:highlight w:val="none"/>
                <w:lang w:val="en-US" w:eastAsia="zh-CN" w:bidi="zh-CN"/>
              </w:rPr>
              <w:t>长春市南关区生态大街与和美路交汇中懋天地8号楼1105室</w:t>
            </w:r>
          </w:p>
          <w:p w14:paraId="04E5FE5C">
            <w:pPr>
              <w:autoSpaceDE w:val="0"/>
              <w:autoSpaceDN w:val="0"/>
              <w:adjustRightInd w:val="0"/>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联系人:</w:t>
            </w:r>
            <w:r>
              <w:rPr>
                <w:rFonts w:hint="eastAsia" w:ascii="宋体" w:hAnsi="宋体" w:eastAsia="宋体" w:cs="宋体"/>
                <w:kern w:val="0"/>
                <w:sz w:val="21"/>
                <w:szCs w:val="21"/>
                <w:highlight w:val="none"/>
                <w:lang w:val="en-US" w:eastAsia="zh-CN" w:bidi="zh-CN"/>
              </w:rPr>
              <w:t>孙菲</w:t>
            </w:r>
          </w:p>
          <w:p w14:paraId="30116B17">
            <w:pPr>
              <w:rPr>
                <w:color w:val="auto"/>
                <w:sz w:val="21"/>
                <w:szCs w:val="21"/>
                <w:highlight w:val="none"/>
              </w:rPr>
            </w:pPr>
            <w:r>
              <w:rPr>
                <w:rFonts w:hint="eastAsia" w:ascii="宋体" w:hAnsi="宋体" w:eastAsia="宋体" w:cs="宋体"/>
                <w:kern w:val="0"/>
                <w:sz w:val="21"/>
                <w:szCs w:val="21"/>
                <w:highlight w:val="none"/>
                <w:lang w:val="zh-CN" w:eastAsia="zh-CN" w:bidi="zh-CN"/>
              </w:rPr>
              <w:t>电话:</w:t>
            </w:r>
            <w:r>
              <w:rPr>
                <w:rFonts w:hint="eastAsia" w:ascii="宋体" w:hAnsi="宋体" w:eastAsia="宋体" w:cs="宋体"/>
                <w:kern w:val="0"/>
                <w:sz w:val="21"/>
                <w:szCs w:val="21"/>
                <w:highlight w:val="none"/>
                <w:lang w:val="en-US" w:eastAsia="zh-CN" w:bidi="zh-CN"/>
              </w:rPr>
              <w:t xml:space="preserve"> 0431-80546608</w:t>
            </w:r>
          </w:p>
        </w:tc>
      </w:tr>
      <w:tr w14:paraId="2A5D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876" w:type="dxa"/>
            <w:noWrap w:val="0"/>
            <w:vAlign w:val="center"/>
          </w:tcPr>
          <w:p w14:paraId="63F55471">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1.1.4</w:t>
            </w:r>
          </w:p>
        </w:tc>
        <w:tc>
          <w:tcPr>
            <w:tcW w:w="1817" w:type="dxa"/>
            <w:noWrap w:val="0"/>
            <w:vAlign w:val="center"/>
          </w:tcPr>
          <w:p w14:paraId="0EAD29AC">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招标项目名称</w:t>
            </w:r>
          </w:p>
        </w:tc>
        <w:tc>
          <w:tcPr>
            <w:tcW w:w="7078" w:type="dxa"/>
            <w:gridSpan w:val="2"/>
            <w:noWrap w:val="0"/>
            <w:vAlign w:val="center"/>
          </w:tcPr>
          <w:p w14:paraId="7FD80082">
            <w:pPr>
              <w:adjustRightInd w:val="0"/>
              <w:snapToGri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sz w:val="21"/>
                <w:szCs w:val="21"/>
                <w:highlight w:val="none"/>
                <w:u w:val="none"/>
                <w:lang w:val="en-US" w:eastAsia="zh-CN"/>
              </w:rPr>
              <w:t>2024年榆树市乡村道路防汛隐患治理项目（一期）监理</w:t>
            </w:r>
          </w:p>
        </w:tc>
      </w:tr>
      <w:tr w14:paraId="6B00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876" w:type="dxa"/>
            <w:noWrap w:val="0"/>
            <w:vAlign w:val="center"/>
          </w:tcPr>
          <w:p w14:paraId="075271FB">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1.1.5</w:t>
            </w:r>
          </w:p>
        </w:tc>
        <w:tc>
          <w:tcPr>
            <w:tcW w:w="1817" w:type="dxa"/>
            <w:noWrap w:val="0"/>
            <w:vAlign w:val="center"/>
          </w:tcPr>
          <w:p w14:paraId="7587BB68">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标段建设地点</w:t>
            </w:r>
          </w:p>
        </w:tc>
        <w:tc>
          <w:tcPr>
            <w:tcW w:w="7078" w:type="dxa"/>
            <w:gridSpan w:val="2"/>
            <w:noWrap w:val="0"/>
            <w:vAlign w:val="center"/>
          </w:tcPr>
          <w:p w14:paraId="7646CEFD">
            <w:pP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highlight w:val="none"/>
                <w:lang w:eastAsia="zh-CN"/>
              </w:rPr>
              <w:t>吉林省</w:t>
            </w:r>
            <w:r>
              <w:rPr>
                <w:rFonts w:hint="eastAsia" w:ascii="宋体" w:hAnsi="宋体" w:eastAsia="宋体" w:cs="宋体"/>
                <w:sz w:val="21"/>
                <w:szCs w:val="21"/>
                <w:highlight w:val="none"/>
                <w:lang w:val="en-US" w:eastAsia="zh-CN"/>
              </w:rPr>
              <w:t>榆树</w:t>
            </w:r>
            <w:r>
              <w:rPr>
                <w:rFonts w:hint="eastAsia" w:ascii="宋体" w:hAnsi="宋体" w:eastAsia="宋体" w:cs="宋体"/>
                <w:sz w:val="21"/>
                <w:szCs w:val="21"/>
                <w:highlight w:val="none"/>
                <w:lang w:eastAsia="zh-CN"/>
              </w:rPr>
              <w:t>市境内</w:t>
            </w:r>
          </w:p>
        </w:tc>
      </w:tr>
      <w:tr w14:paraId="517A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876" w:type="dxa"/>
            <w:noWrap w:val="0"/>
            <w:vAlign w:val="center"/>
          </w:tcPr>
          <w:p w14:paraId="154C6527">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1.1.6</w:t>
            </w:r>
          </w:p>
        </w:tc>
        <w:tc>
          <w:tcPr>
            <w:tcW w:w="1817" w:type="dxa"/>
            <w:noWrap w:val="0"/>
            <w:vAlign w:val="center"/>
          </w:tcPr>
          <w:p w14:paraId="7B8F7ECF">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标段建设规模</w:t>
            </w:r>
          </w:p>
        </w:tc>
        <w:tc>
          <w:tcPr>
            <w:tcW w:w="7078" w:type="dxa"/>
            <w:gridSpan w:val="2"/>
            <w:noWrap w:val="0"/>
            <w:vAlign w:val="center"/>
          </w:tcPr>
          <w:p w14:paraId="72C0CF49">
            <w:pPr>
              <w:rPr>
                <w:rFonts w:hint="eastAsia" w:ascii="宋体" w:hAnsi="宋体"/>
                <w:color w:val="auto"/>
                <w:sz w:val="21"/>
                <w:szCs w:val="21"/>
                <w:highlight w:val="none"/>
              </w:rPr>
            </w:pPr>
            <w:r>
              <w:rPr>
                <w:rFonts w:hint="eastAsia" w:ascii="宋体" w:hAnsi="宋体"/>
                <w:color w:val="auto"/>
                <w:sz w:val="21"/>
                <w:szCs w:val="21"/>
                <w:highlight w:val="none"/>
              </w:rPr>
              <w:t>见招标公告</w:t>
            </w:r>
          </w:p>
        </w:tc>
      </w:tr>
      <w:tr w14:paraId="2BD3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876" w:type="dxa"/>
            <w:noWrap w:val="0"/>
            <w:vAlign w:val="center"/>
          </w:tcPr>
          <w:p w14:paraId="3498F55B">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1.1.7</w:t>
            </w:r>
          </w:p>
        </w:tc>
        <w:tc>
          <w:tcPr>
            <w:tcW w:w="1817" w:type="dxa"/>
            <w:noWrap w:val="0"/>
            <w:vAlign w:val="center"/>
          </w:tcPr>
          <w:p w14:paraId="17FF9E64">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招标项目施工预计开工日期和建设周期</w:t>
            </w:r>
          </w:p>
        </w:tc>
        <w:tc>
          <w:tcPr>
            <w:tcW w:w="7078" w:type="dxa"/>
            <w:gridSpan w:val="2"/>
            <w:noWrap w:val="0"/>
            <w:vAlign w:val="center"/>
          </w:tcPr>
          <w:p w14:paraId="655CBB4C">
            <w:pPr>
              <w:rPr>
                <w:rFonts w:hint="eastAsia" w:ascii="宋体" w:hAnsi="宋体"/>
                <w:bCs/>
                <w:color w:val="auto"/>
                <w:sz w:val="21"/>
                <w:szCs w:val="21"/>
                <w:highlight w:val="none"/>
              </w:rPr>
            </w:pPr>
            <w:r>
              <w:rPr>
                <w:rFonts w:ascii="宋体" w:hAnsi="宋体"/>
                <w:color w:val="auto"/>
                <w:sz w:val="21"/>
                <w:szCs w:val="21"/>
                <w:highlight w:val="none"/>
              </w:rPr>
              <w:t>计划</w:t>
            </w:r>
            <w:r>
              <w:rPr>
                <w:rFonts w:hint="eastAsia" w:ascii="宋体" w:hAnsi="宋体"/>
                <w:color w:val="auto"/>
                <w:sz w:val="21"/>
                <w:szCs w:val="21"/>
                <w:highlight w:val="none"/>
              </w:rPr>
              <w:t>开工日</w:t>
            </w:r>
            <w:r>
              <w:rPr>
                <w:rFonts w:ascii="宋体" w:hAnsi="宋体"/>
                <w:color w:val="auto"/>
                <w:sz w:val="21"/>
                <w:szCs w:val="21"/>
                <w:highlight w:val="none"/>
              </w:rPr>
              <w:t>期</w:t>
            </w:r>
            <w:r>
              <w:rPr>
                <w:rFonts w:hint="eastAsia" w:ascii="宋体" w:hAnsi="宋体"/>
                <w:bCs/>
                <w:color w:val="auto"/>
                <w:sz w:val="21"/>
                <w:szCs w:val="21"/>
                <w:highlight w:val="none"/>
              </w:rPr>
              <w:t>20</w:t>
            </w:r>
            <w:r>
              <w:rPr>
                <w:rFonts w:hint="eastAsia" w:ascii="宋体" w:hAnsi="宋体"/>
                <w:bCs/>
                <w:color w:val="auto"/>
                <w:sz w:val="21"/>
                <w:szCs w:val="21"/>
                <w:highlight w:val="none"/>
                <w:lang w:val="en-US" w:eastAsia="zh-CN"/>
              </w:rPr>
              <w:t>25</w:t>
            </w:r>
            <w:r>
              <w:rPr>
                <w:rFonts w:hint="eastAsia" w:ascii="宋体" w:hAnsi="宋体"/>
                <w:bCs/>
                <w:color w:val="auto"/>
                <w:sz w:val="21"/>
                <w:szCs w:val="21"/>
                <w:highlight w:val="none"/>
              </w:rPr>
              <w:t>年</w:t>
            </w:r>
            <w:r>
              <w:rPr>
                <w:rFonts w:hint="eastAsia" w:ascii="宋体" w:hAnsi="宋体"/>
                <w:bCs/>
                <w:color w:val="auto"/>
                <w:sz w:val="21"/>
                <w:szCs w:val="21"/>
                <w:highlight w:val="none"/>
                <w:lang w:val="en-US" w:eastAsia="zh-CN"/>
              </w:rPr>
              <w:t>10</w:t>
            </w:r>
            <w:r>
              <w:rPr>
                <w:rFonts w:hint="eastAsia" w:ascii="宋体" w:hAnsi="宋体"/>
                <w:bCs/>
                <w:color w:val="auto"/>
                <w:sz w:val="21"/>
                <w:szCs w:val="21"/>
                <w:highlight w:val="none"/>
              </w:rPr>
              <w:t>月</w:t>
            </w:r>
            <w:r>
              <w:rPr>
                <w:rFonts w:hint="eastAsia" w:ascii="宋体" w:hAnsi="宋体"/>
                <w:bCs/>
                <w:color w:val="auto"/>
                <w:sz w:val="21"/>
                <w:szCs w:val="21"/>
                <w:highlight w:val="none"/>
                <w:lang w:val="en-US" w:eastAsia="zh-CN"/>
              </w:rPr>
              <w:t>25</w:t>
            </w:r>
            <w:r>
              <w:rPr>
                <w:rFonts w:hint="eastAsia" w:ascii="宋体" w:hAnsi="宋体"/>
                <w:bCs/>
                <w:color w:val="auto"/>
                <w:sz w:val="21"/>
                <w:szCs w:val="21"/>
                <w:highlight w:val="none"/>
              </w:rPr>
              <w:t>日</w:t>
            </w:r>
          </w:p>
          <w:p w14:paraId="6A0251FF">
            <w:pPr>
              <w:rPr>
                <w:rFonts w:hint="eastAsia" w:ascii="宋体" w:hAnsi="宋体"/>
                <w:color w:val="auto"/>
                <w:sz w:val="21"/>
                <w:szCs w:val="21"/>
                <w:highlight w:val="none"/>
              </w:rPr>
            </w:pPr>
            <w:r>
              <w:rPr>
                <w:rFonts w:hint="eastAsia" w:ascii="宋体" w:hAnsi="宋体"/>
                <w:color w:val="auto"/>
                <w:sz w:val="21"/>
                <w:szCs w:val="21"/>
                <w:highlight w:val="none"/>
              </w:rPr>
              <w:t>建设周期：</w:t>
            </w:r>
            <w:r>
              <w:rPr>
                <w:rFonts w:hint="eastAsia" w:ascii="宋体" w:hAnsi="宋体"/>
                <w:color w:val="auto"/>
                <w:sz w:val="21"/>
                <w:szCs w:val="21"/>
                <w:highlight w:val="none"/>
                <w:lang w:val="en-US" w:eastAsia="zh-CN"/>
              </w:rPr>
              <w:t>36</w:t>
            </w:r>
            <w:r>
              <w:rPr>
                <w:rFonts w:hint="eastAsia" w:ascii="宋体" w:hAnsi="宋体"/>
                <w:color w:val="auto"/>
                <w:sz w:val="21"/>
                <w:szCs w:val="21"/>
                <w:highlight w:val="none"/>
              </w:rPr>
              <w:t>天</w:t>
            </w:r>
          </w:p>
        </w:tc>
      </w:tr>
      <w:tr w14:paraId="7D51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876" w:type="dxa"/>
            <w:noWrap w:val="0"/>
            <w:vAlign w:val="center"/>
          </w:tcPr>
          <w:p w14:paraId="693131E5">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1.1.8</w:t>
            </w:r>
          </w:p>
        </w:tc>
        <w:tc>
          <w:tcPr>
            <w:tcW w:w="1817" w:type="dxa"/>
            <w:noWrap w:val="0"/>
            <w:vAlign w:val="center"/>
          </w:tcPr>
          <w:p w14:paraId="1708B74A">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建筑安装工程费</w:t>
            </w:r>
          </w:p>
        </w:tc>
        <w:tc>
          <w:tcPr>
            <w:tcW w:w="7078" w:type="dxa"/>
            <w:gridSpan w:val="2"/>
            <w:noWrap w:val="0"/>
            <w:vAlign w:val="center"/>
          </w:tcPr>
          <w:p w14:paraId="44C019A3">
            <w:pPr>
              <w:adjustRightInd w:val="0"/>
              <w:snapToGrid w:val="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65，564，304.00元</w:t>
            </w:r>
          </w:p>
        </w:tc>
      </w:tr>
      <w:tr w14:paraId="5838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876" w:type="dxa"/>
            <w:noWrap w:val="0"/>
            <w:vAlign w:val="center"/>
          </w:tcPr>
          <w:p w14:paraId="2D5FB98D">
            <w:pPr>
              <w:jc w:val="center"/>
              <w:rPr>
                <w:rFonts w:hint="eastAsia" w:ascii="宋体" w:hAnsi="宋体"/>
                <w:color w:val="auto"/>
                <w:sz w:val="21"/>
                <w:szCs w:val="21"/>
                <w:highlight w:val="none"/>
              </w:rPr>
            </w:pPr>
            <w:r>
              <w:rPr>
                <w:rFonts w:hint="eastAsia" w:ascii="宋体" w:hAnsi="宋体"/>
                <w:color w:val="auto"/>
                <w:sz w:val="21"/>
                <w:szCs w:val="21"/>
                <w:highlight w:val="none"/>
              </w:rPr>
              <w:t>1.2.1</w:t>
            </w:r>
          </w:p>
        </w:tc>
        <w:tc>
          <w:tcPr>
            <w:tcW w:w="1817" w:type="dxa"/>
            <w:noWrap w:val="0"/>
            <w:vAlign w:val="center"/>
          </w:tcPr>
          <w:p w14:paraId="18F3F0D0">
            <w:pPr>
              <w:jc w:val="center"/>
              <w:rPr>
                <w:rFonts w:hint="eastAsia" w:ascii="宋体" w:hAnsi="宋体"/>
                <w:color w:val="auto"/>
                <w:sz w:val="21"/>
                <w:szCs w:val="21"/>
                <w:highlight w:val="none"/>
              </w:rPr>
            </w:pPr>
            <w:r>
              <w:rPr>
                <w:rFonts w:hint="eastAsia" w:ascii="宋体" w:hAnsi="宋体"/>
                <w:color w:val="auto"/>
                <w:sz w:val="21"/>
                <w:szCs w:val="21"/>
                <w:highlight w:val="none"/>
              </w:rPr>
              <w:t>资金来源</w:t>
            </w:r>
          </w:p>
        </w:tc>
        <w:tc>
          <w:tcPr>
            <w:tcW w:w="7078" w:type="dxa"/>
            <w:gridSpan w:val="2"/>
            <w:noWrap w:val="0"/>
            <w:vAlign w:val="center"/>
          </w:tcPr>
          <w:p w14:paraId="6052768E">
            <w:pPr>
              <w:adjustRightInd w:val="0"/>
              <w:snapToGrid w:val="0"/>
              <w:rPr>
                <w:rFonts w:ascii="宋体" w:hAnsi="宋体"/>
                <w:color w:val="auto"/>
                <w:sz w:val="21"/>
                <w:szCs w:val="21"/>
                <w:highlight w:val="none"/>
              </w:rPr>
            </w:pPr>
            <w:r>
              <w:rPr>
                <w:rFonts w:hint="eastAsia" w:ascii="宋体" w:hAnsi="宋体" w:cs="宋体"/>
                <w:sz w:val="21"/>
                <w:szCs w:val="21"/>
                <w:highlight w:val="none"/>
                <w:u w:val="none"/>
                <w:lang w:val="en-US" w:eastAsia="zh-CN"/>
              </w:rPr>
              <w:t>申请上级资金及地方自筹</w:t>
            </w:r>
          </w:p>
        </w:tc>
      </w:tr>
      <w:tr w14:paraId="6DBA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876" w:type="dxa"/>
            <w:noWrap w:val="0"/>
            <w:vAlign w:val="center"/>
          </w:tcPr>
          <w:p w14:paraId="42B65C89">
            <w:pP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1.2.2</w:t>
            </w:r>
          </w:p>
        </w:tc>
        <w:tc>
          <w:tcPr>
            <w:tcW w:w="1817" w:type="dxa"/>
            <w:noWrap w:val="0"/>
            <w:vAlign w:val="center"/>
          </w:tcPr>
          <w:p w14:paraId="37B1BC4C">
            <w:pP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资金落实情况</w:t>
            </w:r>
          </w:p>
        </w:tc>
        <w:tc>
          <w:tcPr>
            <w:tcW w:w="7078" w:type="dxa"/>
            <w:gridSpan w:val="2"/>
            <w:noWrap w:val="0"/>
            <w:vAlign w:val="center"/>
          </w:tcPr>
          <w:p w14:paraId="46477557">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rPr>
              <w:t>已落实</w:t>
            </w:r>
          </w:p>
        </w:tc>
      </w:tr>
      <w:tr w14:paraId="79ED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76" w:type="dxa"/>
            <w:noWrap w:val="0"/>
            <w:vAlign w:val="center"/>
          </w:tcPr>
          <w:p w14:paraId="4B23D3DD">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1.3.1</w:t>
            </w:r>
          </w:p>
        </w:tc>
        <w:tc>
          <w:tcPr>
            <w:tcW w:w="1817" w:type="dxa"/>
            <w:noWrap w:val="0"/>
            <w:vAlign w:val="center"/>
          </w:tcPr>
          <w:p w14:paraId="761618A7">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招标范围</w:t>
            </w:r>
          </w:p>
        </w:tc>
        <w:tc>
          <w:tcPr>
            <w:tcW w:w="7078" w:type="dxa"/>
            <w:gridSpan w:val="2"/>
            <w:noWrap w:val="0"/>
            <w:vAlign w:val="center"/>
          </w:tcPr>
          <w:p w14:paraId="69076FD0">
            <w:pPr>
              <w:adjustRightInd w:val="0"/>
              <w:snapToGrid w:val="0"/>
              <w:rPr>
                <w:rFonts w:hint="eastAsia" w:ascii="宋体" w:hAnsi="宋体"/>
                <w:color w:val="auto"/>
                <w:sz w:val="21"/>
                <w:szCs w:val="21"/>
                <w:highlight w:val="none"/>
                <w:u w:val="single"/>
              </w:rPr>
            </w:pPr>
            <w:r>
              <w:rPr>
                <w:rFonts w:hint="eastAsia" w:ascii="宋体" w:hAnsi="宋体" w:eastAsia="宋体" w:cs="Times New Roman"/>
                <w:color w:val="auto"/>
                <w:sz w:val="21"/>
                <w:szCs w:val="21"/>
                <w:highlight w:val="none"/>
                <w:lang w:val="en-US" w:eastAsia="zh-CN"/>
              </w:rPr>
              <w:t>总监理工程师办公室（含工地试验室）</w:t>
            </w:r>
          </w:p>
        </w:tc>
      </w:tr>
      <w:tr w14:paraId="27F9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76" w:type="dxa"/>
            <w:noWrap w:val="0"/>
            <w:vAlign w:val="center"/>
          </w:tcPr>
          <w:p w14:paraId="7C49CBB1">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1.3.2</w:t>
            </w:r>
          </w:p>
        </w:tc>
        <w:tc>
          <w:tcPr>
            <w:tcW w:w="1817" w:type="dxa"/>
            <w:noWrap w:val="0"/>
            <w:vAlign w:val="center"/>
          </w:tcPr>
          <w:p w14:paraId="20C74AE9">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监理服务期限</w:t>
            </w:r>
          </w:p>
        </w:tc>
        <w:tc>
          <w:tcPr>
            <w:tcW w:w="7078" w:type="dxa"/>
            <w:gridSpan w:val="2"/>
            <w:noWrap w:val="0"/>
            <w:vAlign w:val="center"/>
          </w:tcPr>
          <w:p w14:paraId="386556DB">
            <w:pPr>
              <w:adjustRightInd w:val="0"/>
              <w:snapToGrid w:val="0"/>
              <w:rPr>
                <w:rFonts w:hint="default" w:ascii="宋体" w:hAnsi="宋体" w:eastAsia="宋体"/>
                <w:color w:val="auto"/>
                <w:sz w:val="21"/>
                <w:szCs w:val="21"/>
                <w:highlight w:val="none"/>
                <w:lang w:val="en-US" w:eastAsia="zh-CN"/>
              </w:rPr>
            </w:pPr>
            <w:r>
              <w:rPr>
                <w:rFonts w:hint="eastAsia" w:ascii="宋体" w:hAnsi="宋体" w:cs="宋体"/>
                <w:color w:val="auto"/>
                <w:kern w:val="0"/>
                <w:szCs w:val="21"/>
                <w:highlight w:val="none"/>
                <w:u w:val="none"/>
                <w:lang w:val="en-US" w:eastAsia="zh-CN"/>
              </w:rPr>
              <w:t>766</w:t>
            </w:r>
            <w:r>
              <w:rPr>
                <w:rFonts w:hint="eastAsia" w:ascii="宋体" w:hAnsi="宋体"/>
                <w:color w:val="auto"/>
                <w:sz w:val="21"/>
                <w:szCs w:val="21"/>
                <w:highlight w:val="none"/>
                <w:lang w:val="en-US" w:eastAsia="zh-CN"/>
              </w:rPr>
              <w:t>天</w:t>
            </w:r>
          </w:p>
        </w:tc>
      </w:tr>
      <w:tr w14:paraId="3270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76" w:type="dxa"/>
            <w:noWrap w:val="0"/>
            <w:vAlign w:val="center"/>
          </w:tcPr>
          <w:p w14:paraId="38E74D1B">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1.3.3</w:t>
            </w:r>
          </w:p>
        </w:tc>
        <w:tc>
          <w:tcPr>
            <w:tcW w:w="1817" w:type="dxa"/>
            <w:noWrap w:val="0"/>
            <w:vAlign w:val="center"/>
          </w:tcPr>
          <w:p w14:paraId="0230D261">
            <w:pPr>
              <w:adjustRightInd w:val="0"/>
              <w:snapToGrid w:val="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质量要求</w:t>
            </w:r>
          </w:p>
        </w:tc>
        <w:tc>
          <w:tcPr>
            <w:tcW w:w="7078" w:type="dxa"/>
            <w:gridSpan w:val="2"/>
            <w:noWrap w:val="0"/>
            <w:vAlign w:val="center"/>
          </w:tcPr>
          <w:p w14:paraId="78FE3626">
            <w:pPr>
              <w:spacing w:line="320" w:lineRule="exact"/>
              <w:rPr>
                <w:rFonts w:hint="eastAsia"/>
                <w:sz w:val="21"/>
                <w:szCs w:val="21"/>
                <w:highlight w:val="none"/>
              </w:rPr>
            </w:pPr>
            <w:r>
              <w:rPr>
                <w:rFonts w:hint="eastAsia"/>
                <w:sz w:val="21"/>
                <w:szCs w:val="21"/>
                <w:highlight w:val="none"/>
                <w:lang w:val="en-US" w:eastAsia="zh-CN"/>
              </w:rPr>
              <w:t xml:space="preserve">标段工程交工验收的质量评定：合格 </w:t>
            </w:r>
          </w:p>
          <w:p w14:paraId="7F530D10">
            <w:pPr>
              <w:adjustRightInd w:val="0"/>
              <w:snapToGrid w:val="0"/>
              <w:rPr>
                <w:rFonts w:hint="eastAsia" w:ascii="宋体" w:hAnsi="宋体" w:eastAsia="宋体" w:cs="Times New Roman"/>
                <w:color w:val="auto"/>
                <w:sz w:val="21"/>
                <w:szCs w:val="21"/>
                <w:highlight w:val="none"/>
                <w:lang w:val="en-US" w:eastAsia="zh-CN"/>
              </w:rPr>
            </w:pPr>
            <w:r>
              <w:rPr>
                <w:rFonts w:hint="eastAsia"/>
                <w:sz w:val="21"/>
                <w:szCs w:val="21"/>
                <w:highlight w:val="none"/>
                <w:lang w:val="en-US" w:eastAsia="zh-CN"/>
              </w:rPr>
              <w:t>竣工验收的质量评定：合格</w:t>
            </w:r>
          </w:p>
        </w:tc>
      </w:tr>
      <w:tr w14:paraId="573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76" w:type="dxa"/>
            <w:noWrap w:val="0"/>
            <w:vAlign w:val="center"/>
          </w:tcPr>
          <w:p w14:paraId="4FE1DCB9">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1.3.4</w:t>
            </w:r>
          </w:p>
        </w:tc>
        <w:tc>
          <w:tcPr>
            <w:tcW w:w="1817" w:type="dxa"/>
            <w:noWrap w:val="0"/>
            <w:vAlign w:val="center"/>
          </w:tcPr>
          <w:p w14:paraId="21325853">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安全目标</w:t>
            </w:r>
          </w:p>
        </w:tc>
        <w:tc>
          <w:tcPr>
            <w:tcW w:w="7078" w:type="dxa"/>
            <w:gridSpan w:val="2"/>
            <w:noWrap w:val="0"/>
            <w:vAlign w:val="center"/>
          </w:tcPr>
          <w:p w14:paraId="26A7EE7B">
            <w:pPr>
              <w:adjustRightInd w:val="0"/>
              <w:snapToGrid w:val="0"/>
              <w:jc w:val="left"/>
              <w:rPr>
                <w:rFonts w:hint="eastAsia" w:ascii="宋体" w:hAnsi="宋体"/>
                <w:color w:val="auto"/>
                <w:sz w:val="21"/>
                <w:szCs w:val="21"/>
                <w:highlight w:val="none"/>
              </w:rPr>
            </w:pPr>
            <w:r>
              <w:rPr>
                <w:rFonts w:hint="eastAsia"/>
                <w:color w:val="auto"/>
                <w:sz w:val="21"/>
                <w:szCs w:val="21"/>
                <w:highlight w:val="none"/>
              </w:rPr>
              <w:t>在项目施工监理过程中杜绝重大安全责任事故，避免发生较大安全责任事故，控制一般安全责任事故。</w:t>
            </w:r>
          </w:p>
        </w:tc>
      </w:tr>
      <w:tr w14:paraId="6C49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noWrap w:val="0"/>
            <w:vAlign w:val="center"/>
          </w:tcPr>
          <w:p w14:paraId="44D8C26C">
            <w:pPr>
              <w:adjustRightInd w:val="0"/>
              <w:snapToGrid w:val="0"/>
              <w:jc w:val="center"/>
              <w:rPr>
                <w:rFonts w:hint="eastAsia" w:ascii="宋体" w:hAnsi="宋体"/>
                <w:color w:val="auto"/>
                <w:sz w:val="21"/>
                <w:szCs w:val="21"/>
                <w:highlight w:val="none"/>
              </w:rPr>
            </w:pPr>
            <w:r>
              <w:rPr>
                <w:rFonts w:ascii="宋体" w:hAnsi="宋体"/>
                <w:color w:val="auto"/>
                <w:sz w:val="21"/>
                <w:szCs w:val="21"/>
                <w:highlight w:val="none"/>
              </w:rPr>
              <w:t>1.4.</w:t>
            </w:r>
            <w:r>
              <w:rPr>
                <w:rFonts w:hint="eastAsia" w:ascii="宋体" w:hAnsi="宋体"/>
                <w:color w:val="auto"/>
                <w:sz w:val="21"/>
                <w:szCs w:val="21"/>
                <w:highlight w:val="none"/>
              </w:rPr>
              <w:t>1</w:t>
            </w:r>
          </w:p>
        </w:tc>
        <w:tc>
          <w:tcPr>
            <w:tcW w:w="1817" w:type="dxa"/>
            <w:noWrap w:val="0"/>
            <w:vAlign w:val="center"/>
          </w:tcPr>
          <w:p w14:paraId="375DF06A">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投标人资质条件、能力和信誉</w:t>
            </w:r>
          </w:p>
        </w:tc>
        <w:tc>
          <w:tcPr>
            <w:tcW w:w="7078" w:type="dxa"/>
            <w:gridSpan w:val="2"/>
            <w:noWrap w:val="0"/>
            <w:vAlign w:val="center"/>
          </w:tcPr>
          <w:p w14:paraId="03375BC1">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资质条件：见附录1</w:t>
            </w:r>
          </w:p>
          <w:p w14:paraId="50EDAA5A">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业绩要求：见附录2</w:t>
            </w:r>
          </w:p>
          <w:p w14:paraId="3018319F">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信誉要求：见附录3</w:t>
            </w:r>
          </w:p>
          <w:p w14:paraId="2BCB6F1A">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总监理工程师资格要求：见附录4</w:t>
            </w:r>
          </w:p>
          <w:p w14:paraId="3CEAD4A3">
            <w:pPr>
              <w:adjustRightInd w:val="0"/>
              <w:snapToGrid w:val="0"/>
              <w:jc w:val="left"/>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rPr>
              <w:t>其他主要监理人员资格要求：</w:t>
            </w:r>
            <w:r>
              <w:rPr>
                <w:rFonts w:hint="eastAsia" w:ascii="宋体" w:hAnsi="宋体" w:eastAsia="宋体" w:cs="宋体"/>
                <w:color w:val="auto"/>
                <w:sz w:val="21"/>
                <w:szCs w:val="21"/>
                <w:highlight w:val="none"/>
                <w:lang w:val="en-US" w:eastAsia="zh-CN"/>
              </w:rPr>
              <w:t>/</w:t>
            </w:r>
          </w:p>
        </w:tc>
      </w:tr>
      <w:tr w14:paraId="39DC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876" w:type="dxa"/>
            <w:noWrap w:val="0"/>
            <w:vAlign w:val="center"/>
          </w:tcPr>
          <w:p w14:paraId="5337F926">
            <w:pPr>
              <w:adjustRightInd w:val="0"/>
              <w:snapToGrid w:val="0"/>
              <w:jc w:val="center"/>
              <w:rPr>
                <w:rFonts w:hint="eastAsia" w:ascii="宋体" w:hAnsi="宋体"/>
                <w:color w:val="auto"/>
                <w:sz w:val="21"/>
                <w:szCs w:val="21"/>
                <w:highlight w:val="none"/>
              </w:rPr>
            </w:pPr>
            <w:r>
              <w:rPr>
                <w:rFonts w:ascii="宋体" w:hAnsi="宋体"/>
                <w:color w:val="auto"/>
                <w:sz w:val="21"/>
                <w:szCs w:val="21"/>
                <w:highlight w:val="none"/>
              </w:rPr>
              <w:t>1.4.2</w:t>
            </w:r>
          </w:p>
        </w:tc>
        <w:tc>
          <w:tcPr>
            <w:tcW w:w="1817" w:type="dxa"/>
            <w:noWrap w:val="0"/>
            <w:vAlign w:val="center"/>
          </w:tcPr>
          <w:p w14:paraId="6A5980F8">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是否接受联合体投标</w:t>
            </w:r>
          </w:p>
        </w:tc>
        <w:tc>
          <w:tcPr>
            <w:tcW w:w="7078" w:type="dxa"/>
            <w:gridSpan w:val="2"/>
            <w:noWrap w:val="0"/>
            <w:vAlign w:val="center"/>
          </w:tcPr>
          <w:p w14:paraId="0300493F">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lang w:val="en-US" w:eastAsia="zh-CN"/>
              </w:rPr>
              <w:t>不</w:t>
            </w:r>
            <w:r>
              <w:rPr>
                <w:rFonts w:hint="eastAsia" w:ascii="宋体" w:hAnsi="宋体"/>
                <w:color w:val="auto"/>
                <w:sz w:val="21"/>
                <w:szCs w:val="21"/>
                <w:highlight w:val="none"/>
              </w:rPr>
              <w:t>接受联合体投标。</w:t>
            </w:r>
          </w:p>
        </w:tc>
      </w:tr>
      <w:tr w14:paraId="2C2D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876" w:type="dxa"/>
            <w:noWrap w:val="0"/>
            <w:vAlign w:val="center"/>
          </w:tcPr>
          <w:p w14:paraId="4030101D">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1.4.3</w:t>
            </w:r>
          </w:p>
        </w:tc>
        <w:tc>
          <w:tcPr>
            <w:tcW w:w="1817" w:type="dxa"/>
            <w:noWrap w:val="0"/>
            <w:vAlign w:val="center"/>
          </w:tcPr>
          <w:p w14:paraId="6B11DF3D">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投标人不得存在的其他关联情形</w:t>
            </w:r>
          </w:p>
        </w:tc>
        <w:tc>
          <w:tcPr>
            <w:tcW w:w="7078" w:type="dxa"/>
            <w:gridSpan w:val="2"/>
            <w:noWrap w:val="0"/>
            <w:vAlign w:val="center"/>
          </w:tcPr>
          <w:p w14:paraId="06D5011A">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rPr>
              <w:t>/</w:t>
            </w:r>
          </w:p>
        </w:tc>
      </w:tr>
      <w:tr w14:paraId="4140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noWrap w:val="0"/>
            <w:vAlign w:val="center"/>
          </w:tcPr>
          <w:p w14:paraId="47173D05">
            <w:pPr>
              <w:jc w:val="center"/>
              <w:rPr>
                <w:rFonts w:hint="eastAsia" w:ascii="宋体" w:hAnsi="宋体"/>
                <w:color w:val="auto"/>
                <w:sz w:val="21"/>
                <w:szCs w:val="21"/>
                <w:highlight w:val="none"/>
              </w:rPr>
            </w:pPr>
            <w:r>
              <w:rPr>
                <w:rFonts w:hint="eastAsia" w:ascii="宋体" w:hAnsi="宋体"/>
                <w:color w:val="auto"/>
                <w:sz w:val="21"/>
                <w:szCs w:val="21"/>
                <w:highlight w:val="none"/>
              </w:rPr>
              <w:t>1.4.4</w:t>
            </w:r>
          </w:p>
        </w:tc>
        <w:tc>
          <w:tcPr>
            <w:tcW w:w="1817" w:type="dxa"/>
            <w:noWrap w:val="0"/>
            <w:vAlign w:val="center"/>
          </w:tcPr>
          <w:p w14:paraId="3199DD1C">
            <w:pPr>
              <w:jc w:val="center"/>
              <w:rPr>
                <w:rFonts w:hint="eastAsia" w:ascii="宋体" w:hAnsi="宋体"/>
                <w:color w:val="auto"/>
                <w:sz w:val="21"/>
                <w:szCs w:val="21"/>
                <w:highlight w:val="none"/>
              </w:rPr>
            </w:pPr>
            <w:r>
              <w:rPr>
                <w:rFonts w:hint="eastAsia" w:ascii="宋体" w:hAnsi="宋体"/>
                <w:color w:val="auto"/>
                <w:sz w:val="21"/>
                <w:szCs w:val="21"/>
                <w:highlight w:val="none"/>
              </w:rPr>
              <w:t>投标人不得存在的其他不良状况或不良信用记录</w:t>
            </w:r>
          </w:p>
        </w:tc>
        <w:tc>
          <w:tcPr>
            <w:tcW w:w="7078" w:type="dxa"/>
            <w:gridSpan w:val="2"/>
            <w:noWrap w:val="0"/>
            <w:vAlign w:val="center"/>
          </w:tcPr>
          <w:p w14:paraId="4BCFBB2C">
            <w:pPr>
              <w:autoSpaceDE w:val="0"/>
              <w:autoSpaceDN w:val="0"/>
              <w:adjustRightInd w:val="0"/>
              <w:spacing w:line="300" w:lineRule="exact"/>
              <w:rPr>
                <w:rFonts w:ascii="宋体" w:hAnsi="宋体"/>
                <w:b/>
                <w:bCs/>
                <w:color w:val="auto"/>
                <w:kern w:val="0"/>
                <w:sz w:val="21"/>
                <w:szCs w:val="21"/>
                <w:highlight w:val="none"/>
              </w:rPr>
            </w:pPr>
            <w:r>
              <w:rPr>
                <w:rFonts w:hint="eastAsia" w:ascii="宋体" w:hAnsi="宋体"/>
                <w:b/>
                <w:bCs/>
                <w:color w:val="auto"/>
                <w:kern w:val="0"/>
                <w:sz w:val="21"/>
                <w:szCs w:val="21"/>
                <w:highlight w:val="none"/>
              </w:rPr>
              <w:t>本款内容第（6）项修改为：</w:t>
            </w:r>
          </w:p>
          <w:p w14:paraId="01DDC479">
            <w:pPr>
              <w:rPr>
                <w:rFonts w:hint="eastAsia"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投标人或其法定代表人、拟委任的</w:t>
            </w:r>
            <w:r>
              <w:rPr>
                <w:rFonts w:hint="eastAsia" w:ascii="宋体" w:hAnsi="宋体"/>
                <w:color w:val="auto"/>
                <w:sz w:val="21"/>
                <w:szCs w:val="21"/>
                <w:highlight w:val="none"/>
              </w:rPr>
              <w:t>总</w:t>
            </w:r>
            <w:r>
              <w:rPr>
                <w:rFonts w:ascii="宋体" w:hAnsi="宋体"/>
                <w:color w:val="auto"/>
                <w:sz w:val="21"/>
                <w:szCs w:val="21"/>
                <w:highlight w:val="none"/>
              </w:rPr>
              <w:t>监理工程师在近三年内有行贿犯罪行为的</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投标人提供</w:t>
            </w:r>
            <w:r>
              <w:rPr>
                <w:rFonts w:hint="eastAsia" w:ascii="宋体" w:hAnsi="宋体"/>
                <w:color w:val="auto"/>
                <w:sz w:val="21"/>
                <w:szCs w:val="21"/>
                <w:highlight w:val="none"/>
                <w:lang w:eastAsia="zh-CN"/>
              </w:rPr>
              <w:t>加盖公章</w:t>
            </w:r>
            <w:r>
              <w:rPr>
                <w:rFonts w:hint="eastAsia" w:ascii="宋体" w:hAnsi="宋体"/>
                <w:color w:val="auto"/>
                <w:sz w:val="21"/>
                <w:szCs w:val="21"/>
                <w:highlight w:val="none"/>
              </w:rPr>
              <w:t>承诺</w:t>
            </w:r>
            <w:r>
              <w:rPr>
                <w:rFonts w:hint="eastAsia" w:ascii="宋体" w:hAnsi="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电子扫描件</w:t>
            </w:r>
            <w:r>
              <w:rPr>
                <w:rFonts w:ascii="宋体" w:hAnsi="宋体"/>
                <w:color w:val="auto"/>
                <w:sz w:val="21"/>
                <w:szCs w:val="21"/>
                <w:highlight w:val="none"/>
              </w:rPr>
              <w:t>）</w:t>
            </w:r>
            <w:r>
              <w:rPr>
                <w:rFonts w:hint="eastAsia" w:ascii="宋体" w:hAnsi="宋体"/>
                <w:color w:val="auto"/>
                <w:sz w:val="21"/>
                <w:szCs w:val="21"/>
                <w:highlight w:val="none"/>
              </w:rPr>
              <w:t>；”</w:t>
            </w:r>
          </w:p>
        </w:tc>
      </w:tr>
      <w:tr w14:paraId="6FCA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76" w:type="dxa"/>
            <w:vMerge w:val="restart"/>
            <w:noWrap w:val="0"/>
            <w:vAlign w:val="center"/>
          </w:tcPr>
          <w:p w14:paraId="294467C8">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1.10.2</w:t>
            </w:r>
          </w:p>
        </w:tc>
        <w:tc>
          <w:tcPr>
            <w:tcW w:w="1817" w:type="dxa"/>
            <w:vMerge w:val="restart"/>
            <w:noWrap w:val="0"/>
            <w:vAlign w:val="center"/>
          </w:tcPr>
          <w:p w14:paraId="77E35AB5">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投标人在投标预备会前提出问题</w:t>
            </w:r>
          </w:p>
        </w:tc>
        <w:tc>
          <w:tcPr>
            <w:tcW w:w="7078" w:type="dxa"/>
            <w:gridSpan w:val="2"/>
            <w:noWrap w:val="0"/>
            <w:vAlign w:val="center"/>
          </w:tcPr>
          <w:p w14:paraId="3203A60F">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p>
        </w:tc>
      </w:tr>
      <w:tr w14:paraId="4C5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76" w:type="dxa"/>
            <w:vMerge w:val="continue"/>
            <w:noWrap w:val="0"/>
            <w:vAlign w:val="center"/>
          </w:tcPr>
          <w:p w14:paraId="24F9C0DE">
            <w:pPr>
              <w:adjustRightInd w:val="0"/>
              <w:snapToGrid w:val="0"/>
              <w:jc w:val="center"/>
              <w:rPr>
                <w:rFonts w:hint="eastAsia" w:ascii="宋体" w:hAnsi="宋体"/>
                <w:color w:val="auto"/>
                <w:sz w:val="21"/>
                <w:szCs w:val="21"/>
                <w:highlight w:val="none"/>
              </w:rPr>
            </w:pPr>
          </w:p>
        </w:tc>
        <w:tc>
          <w:tcPr>
            <w:tcW w:w="1817" w:type="dxa"/>
            <w:vMerge w:val="continue"/>
            <w:noWrap w:val="0"/>
            <w:vAlign w:val="center"/>
          </w:tcPr>
          <w:p w14:paraId="5A70161F">
            <w:pPr>
              <w:adjustRightInd w:val="0"/>
              <w:snapToGrid w:val="0"/>
              <w:jc w:val="center"/>
              <w:rPr>
                <w:rFonts w:hint="eastAsia" w:ascii="宋体" w:hAnsi="宋体"/>
                <w:color w:val="auto"/>
                <w:sz w:val="21"/>
                <w:szCs w:val="21"/>
                <w:highlight w:val="none"/>
              </w:rPr>
            </w:pPr>
          </w:p>
        </w:tc>
        <w:tc>
          <w:tcPr>
            <w:tcW w:w="7078" w:type="dxa"/>
            <w:gridSpan w:val="2"/>
            <w:noWrap w:val="0"/>
            <w:vAlign w:val="center"/>
          </w:tcPr>
          <w:p w14:paraId="15557A51">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rPr>
              <w:t>形式：</w:t>
            </w:r>
            <w:r>
              <w:rPr>
                <w:rFonts w:hint="eastAsia" w:ascii="宋体" w:hAnsi="宋体" w:eastAsia="宋体" w:cs="宋体"/>
                <w:color w:val="auto"/>
                <w:sz w:val="21"/>
                <w:szCs w:val="21"/>
                <w:highlight w:val="none"/>
              </w:rPr>
              <w:t>使用CA数字证书登录“电子交易平台”，在“投标答疑”菜单以书面形式将提出的问题送达招标人</w:t>
            </w:r>
          </w:p>
        </w:tc>
      </w:tr>
      <w:tr w14:paraId="230B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876" w:type="dxa"/>
            <w:noWrap w:val="0"/>
            <w:vAlign w:val="center"/>
          </w:tcPr>
          <w:p w14:paraId="6B90C688">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2.1</w:t>
            </w:r>
          </w:p>
        </w:tc>
        <w:tc>
          <w:tcPr>
            <w:tcW w:w="1817" w:type="dxa"/>
            <w:noWrap w:val="0"/>
            <w:vAlign w:val="center"/>
          </w:tcPr>
          <w:p w14:paraId="2A3997A9">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构成招标文件的其他资料</w:t>
            </w:r>
          </w:p>
        </w:tc>
        <w:tc>
          <w:tcPr>
            <w:tcW w:w="7078" w:type="dxa"/>
            <w:gridSpan w:val="2"/>
            <w:noWrap w:val="0"/>
            <w:vAlign w:val="center"/>
          </w:tcPr>
          <w:p w14:paraId="475DD627">
            <w:pPr>
              <w:adjustRightInd w:val="0"/>
              <w:snapToGrid w:val="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《投标文件关键内容摘录表》的电子文件（Microsoft Word文件）、图纸扫描件由招标人提供。下载网址请注意区分大小写，或扫描二维码登录）：</w:t>
            </w:r>
          </w:p>
          <w:p w14:paraId="2BD0CAB6">
            <w:pPr>
              <w:adjustRightInd w:val="0"/>
              <w:snapToGrid w:val="0"/>
              <w:jc w:val="left"/>
              <w:rPr>
                <w:rFonts w:hint="eastAsia" w:ascii="宋体" w:hAnsi="宋体" w:cs="宋体"/>
                <w:sz w:val="21"/>
                <w:szCs w:val="21"/>
                <w:highlight w:val="none"/>
              </w:rPr>
            </w:pPr>
            <w:r>
              <w:rPr>
                <w:rFonts w:hint="eastAsia" w:ascii="宋体" w:hAnsi="宋体" w:cs="宋体"/>
                <w:sz w:val="21"/>
                <w:szCs w:val="21"/>
                <w:highlight w:val="none"/>
              </w:rPr>
              <w:t>通过网盘分享的文件：2024年榆树市乡村道路防汛隐患治理项目（一期）监理招标</w:t>
            </w:r>
          </w:p>
          <w:p w14:paraId="08FEE298">
            <w:pPr>
              <w:adjustRightInd w:val="0"/>
              <w:snapToGrid w:val="0"/>
              <w:jc w:val="left"/>
              <w:rPr>
                <w:rFonts w:hint="eastAsia" w:ascii="宋体" w:hAnsi="宋体" w:eastAsia="宋体"/>
                <w:color w:val="auto"/>
                <w:sz w:val="21"/>
                <w:szCs w:val="21"/>
                <w:highlight w:val="none"/>
                <w:lang w:eastAsia="zh-CN"/>
              </w:rPr>
            </w:pPr>
            <w:r>
              <w:rPr>
                <w:rFonts w:hint="eastAsia" w:ascii="宋体" w:hAnsi="宋体" w:cs="宋体"/>
                <w:sz w:val="21"/>
                <w:szCs w:val="21"/>
                <w:highlight w:val="none"/>
              </w:rPr>
              <w:t>链接: https://pan.baidu.com/s/1vOh1GktfCFAxKoUOwd1J3Q?pwd=2021 提取码: 2021</w:t>
            </w:r>
          </w:p>
        </w:tc>
      </w:tr>
      <w:tr w14:paraId="60F1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876" w:type="dxa"/>
            <w:vMerge w:val="restart"/>
            <w:noWrap w:val="0"/>
            <w:vAlign w:val="center"/>
          </w:tcPr>
          <w:p w14:paraId="1F522831">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2.2.1</w:t>
            </w:r>
          </w:p>
        </w:tc>
        <w:tc>
          <w:tcPr>
            <w:tcW w:w="1817" w:type="dxa"/>
            <w:vMerge w:val="restart"/>
            <w:noWrap w:val="0"/>
            <w:vAlign w:val="center"/>
          </w:tcPr>
          <w:p w14:paraId="79030B30">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投标人要求澄清招标文件</w:t>
            </w:r>
          </w:p>
        </w:tc>
        <w:tc>
          <w:tcPr>
            <w:tcW w:w="7078" w:type="dxa"/>
            <w:gridSpan w:val="2"/>
            <w:noWrap w:val="0"/>
            <w:vAlign w:val="center"/>
          </w:tcPr>
          <w:p w14:paraId="7BFA3F5F">
            <w:pPr>
              <w:adjustRightInd w:val="0"/>
              <w:snapToGrid w:val="0"/>
              <w:rPr>
                <w:rFonts w:hint="eastAsia" w:ascii="宋体" w:hAnsi="宋体"/>
                <w:color w:val="auto"/>
                <w:sz w:val="21"/>
                <w:szCs w:val="21"/>
                <w:highlight w:val="none"/>
              </w:rPr>
            </w:pPr>
            <w:bookmarkStart w:id="11" w:name="EB13d19317296c4f8bb016cc9c7ea0da39"/>
            <w:r>
              <w:rPr>
                <w:rFonts w:hint="eastAsia" w:ascii="宋体" w:hAnsi="宋体"/>
                <w:color w:val="auto"/>
                <w:sz w:val="21"/>
                <w:szCs w:val="21"/>
                <w:highlight w:val="none"/>
              </w:rPr>
              <w:t>时间：</w:t>
            </w:r>
            <w:bookmarkEnd w:id="11"/>
            <w:r>
              <w:rPr>
                <w:rFonts w:hint="eastAsia" w:ascii="宋体" w:hAnsi="宋体" w:eastAsia="宋体" w:cs="宋体"/>
                <w:color w:val="auto"/>
                <w:sz w:val="21"/>
                <w:szCs w:val="21"/>
                <w:highlight w:val="none"/>
              </w:rPr>
              <w:t>投标截止时间10天前</w:t>
            </w:r>
          </w:p>
        </w:tc>
      </w:tr>
      <w:tr w14:paraId="4CD0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876" w:type="dxa"/>
            <w:vMerge w:val="continue"/>
            <w:noWrap w:val="0"/>
            <w:vAlign w:val="center"/>
          </w:tcPr>
          <w:p w14:paraId="6395F308">
            <w:pPr>
              <w:adjustRightInd w:val="0"/>
              <w:snapToGrid w:val="0"/>
              <w:jc w:val="center"/>
              <w:rPr>
                <w:rFonts w:hint="eastAsia" w:ascii="宋体" w:hAnsi="宋体"/>
                <w:color w:val="auto"/>
                <w:sz w:val="21"/>
                <w:szCs w:val="21"/>
                <w:highlight w:val="none"/>
              </w:rPr>
            </w:pPr>
          </w:p>
        </w:tc>
        <w:tc>
          <w:tcPr>
            <w:tcW w:w="1817" w:type="dxa"/>
            <w:vMerge w:val="continue"/>
            <w:noWrap w:val="0"/>
            <w:vAlign w:val="center"/>
          </w:tcPr>
          <w:p w14:paraId="68026EEE">
            <w:pPr>
              <w:adjustRightInd w:val="0"/>
              <w:snapToGrid w:val="0"/>
              <w:jc w:val="center"/>
              <w:rPr>
                <w:rFonts w:hint="eastAsia" w:ascii="宋体" w:hAnsi="宋体"/>
                <w:color w:val="auto"/>
                <w:sz w:val="21"/>
                <w:szCs w:val="21"/>
                <w:highlight w:val="none"/>
              </w:rPr>
            </w:pPr>
          </w:p>
        </w:tc>
        <w:tc>
          <w:tcPr>
            <w:tcW w:w="7078" w:type="dxa"/>
            <w:gridSpan w:val="2"/>
            <w:noWrap w:val="0"/>
            <w:vAlign w:val="center"/>
          </w:tcPr>
          <w:p w14:paraId="33941309">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rPr>
              <w:t>形式：</w:t>
            </w:r>
            <w:r>
              <w:rPr>
                <w:rFonts w:hint="eastAsia" w:ascii="宋体" w:hAnsi="宋体" w:eastAsia="宋体" w:cs="宋体"/>
                <w:color w:val="auto"/>
                <w:sz w:val="21"/>
                <w:szCs w:val="21"/>
                <w:highlight w:val="none"/>
              </w:rPr>
              <w:t>使用CA数字证书登录“电子交易平台”，在“投标答疑”菜单以书面形式要求招标人对招标文件予以澄清</w:t>
            </w:r>
          </w:p>
        </w:tc>
      </w:tr>
      <w:tr w14:paraId="6688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76" w:type="dxa"/>
            <w:noWrap w:val="0"/>
            <w:vAlign w:val="center"/>
          </w:tcPr>
          <w:p w14:paraId="16339041">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2.2.2</w:t>
            </w:r>
          </w:p>
        </w:tc>
        <w:tc>
          <w:tcPr>
            <w:tcW w:w="1817" w:type="dxa"/>
            <w:noWrap w:val="0"/>
            <w:vAlign w:val="center"/>
          </w:tcPr>
          <w:p w14:paraId="2AFE7E71">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招标文件澄清发出的形式</w:t>
            </w:r>
          </w:p>
        </w:tc>
        <w:tc>
          <w:tcPr>
            <w:tcW w:w="7078" w:type="dxa"/>
            <w:gridSpan w:val="2"/>
            <w:noWrap w:val="0"/>
            <w:vAlign w:val="center"/>
          </w:tcPr>
          <w:p w14:paraId="408DFB2B">
            <w:pPr>
              <w:pStyle w:val="12"/>
              <w:keepNext w:val="0"/>
              <w:keepLines w:val="0"/>
              <w:widowControl/>
              <w:suppressLineNumbers w:val="0"/>
              <w:spacing w:line="390" w:lineRule="atLeast"/>
              <w:jc w:val="both"/>
              <w:rPr>
                <w:rFonts w:hint="eastAsia" w:ascii="宋体" w:hAnsi="宋体"/>
                <w:color w:val="auto"/>
                <w:sz w:val="21"/>
                <w:szCs w:val="21"/>
                <w:highlight w:val="none"/>
              </w:rPr>
            </w:pPr>
            <w:r>
              <w:rPr>
                <w:rFonts w:hint="eastAsia" w:ascii="宋体" w:hAnsi="宋体" w:eastAsia="宋体" w:cs="宋体"/>
                <w:color w:val="auto"/>
                <w:sz w:val="21"/>
                <w:szCs w:val="21"/>
                <w:highlight w:val="none"/>
              </w:rPr>
              <w:t>通过“电子交易平台”发出招标文件澄清</w:t>
            </w:r>
          </w:p>
        </w:tc>
      </w:tr>
      <w:tr w14:paraId="0516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876" w:type="dxa"/>
            <w:noWrap w:val="0"/>
            <w:vAlign w:val="center"/>
          </w:tcPr>
          <w:p w14:paraId="280483F6">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2.2.3</w:t>
            </w:r>
          </w:p>
        </w:tc>
        <w:tc>
          <w:tcPr>
            <w:tcW w:w="1817" w:type="dxa"/>
            <w:noWrap w:val="0"/>
            <w:vAlign w:val="center"/>
          </w:tcPr>
          <w:p w14:paraId="71D21B1D">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投标人确认收到招标文件澄清</w:t>
            </w:r>
          </w:p>
        </w:tc>
        <w:tc>
          <w:tcPr>
            <w:tcW w:w="7078" w:type="dxa"/>
            <w:gridSpan w:val="2"/>
            <w:noWrap w:val="0"/>
            <w:vAlign w:val="center"/>
          </w:tcPr>
          <w:p w14:paraId="4F97DAD1">
            <w:pPr>
              <w:pStyle w:val="12"/>
              <w:keepNext w:val="0"/>
              <w:keepLines w:val="0"/>
              <w:widowControl/>
              <w:suppressLineNumbers w:val="0"/>
              <w:spacing w:line="390" w:lineRule="atLeast"/>
              <w:jc w:val="both"/>
              <w:rPr>
                <w:rFonts w:hint="eastAsia" w:ascii="宋体" w:hAnsi="宋体"/>
                <w:color w:val="auto"/>
                <w:sz w:val="21"/>
                <w:szCs w:val="21"/>
                <w:highlight w:val="none"/>
              </w:rPr>
            </w:pPr>
            <w:r>
              <w:rPr>
                <w:rFonts w:hint="eastAsia" w:ascii="宋体" w:hAnsi="宋体" w:eastAsia="宋体" w:cs="宋体"/>
                <w:color w:val="auto"/>
                <w:sz w:val="21"/>
                <w:szCs w:val="21"/>
                <w:highlight w:val="none"/>
              </w:rPr>
              <w:t>投保人打开澄清通知时系统自动确认</w:t>
            </w:r>
          </w:p>
        </w:tc>
      </w:tr>
      <w:tr w14:paraId="0392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876" w:type="dxa"/>
            <w:noWrap w:val="0"/>
            <w:vAlign w:val="center"/>
          </w:tcPr>
          <w:p w14:paraId="1BD8F0A2">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2.3.1</w:t>
            </w:r>
          </w:p>
        </w:tc>
        <w:tc>
          <w:tcPr>
            <w:tcW w:w="1817" w:type="dxa"/>
            <w:noWrap w:val="0"/>
            <w:vAlign w:val="center"/>
          </w:tcPr>
          <w:p w14:paraId="3601907C">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招标文件修改发出的形式</w:t>
            </w:r>
          </w:p>
        </w:tc>
        <w:tc>
          <w:tcPr>
            <w:tcW w:w="7078" w:type="dxa"/>
            <w:gridSpan w:val="2"/>
            <w:noWrap w:val="0"/>
            <w:vAlign w:val="center"/>
          </w:tcPr>
          <w:p w14:paraId="20B5E9C3">
            <w:pPr>
              <w:pStyle w:val="12"/>
              <w:keepNext w:val="0"/>
              <w:keepLines w:val="0"/>
              <w:widowControl/>
              <w:suppressLineNumbers w:val="0"/>
              <w:spacing w:line="390" w:lineRule="atLeast"/>
              <w:jc w:val="both"/>
              <w:rPr>
                <w:rFonts w:hint="eastAsia" w:ascii="宋体" w:hAnsi="宋体"/>
                <w:color w:val="auto"/>
                <w:sz w:val="21"/>
                <w:szCs w:val="21"/>
                <w:highlight w:val="none"/>
              </w:rPr>
            </w:pPr>
            <w:r>
              <w:rPr>
                <w:rFonts w:hint="eastAsia" w:ascii="宋体" w:hAnsi="宋体" w:eastAsia="宋体" w:cs="宋体"/>
                <w:color w:val="auto"/>
                <w:sz w:val="21"/>
                <w:szCs w:val="21"/>
                <w:highlight w:val="none"/>
              </w:rPr>
              <w:t>通过</w:t>
            </w:r>
            <w:r>
              <w:rPr>
                <w:rFonts w:ascii="Calibri" w:hAnsi="Calibri" w:eastAsia="微软雅黑" w:cs="Calibri"/>
                <w:color w:val="auto"/>
                <w:sz w:val="21"/>
                <w:szCs w:val="21"/>
                <w:highlight w:val="none"/>
              </w:rPr>
              <w:t>“</w:t>
            </w:r>
            <w:r>
              <w:rPr>
                <w:rFonts w:hint="eastAsia" w:ascii="宋体" w:hAnsi="宋体" w:eastAsia="宋体" w:cs="宋体"/>
                <w:color w:val="auto"/>
                <w:sz w:val="21"/>
                <w:szCs w:val="21"/>
                <w:highlight w:val="none"/>
              </w:rPr>
              <w:t>电子交易平台</w:t>
            </w:r>
            <w:r>
              <w:rPr>
                <w:rFonts w:hint="default" w:ascii="Calibri" w:hAnsi="Calibri" w:eastAsia="微软雅黑" w:cs="Calibri"/>
                <w:color w:val="auto"/>
                <w:sz w:val="21"/>
                <w:szCs w:val="21"/>
                <w:highlight w:val="none"/>
              </w:rPr>
              <w:t>”</w:t>
            </w:r>
            <w:r>
              <w:rPr>
                <w:rFonts w:hint="eastAsia" w:ascii="宋体" w:hAnsi="宋体" w:eastAsia="宋体" w:cs="宋体"/>
                <w:color w:val="auto"/>
                <w:sz w:val="21"/>
                <w:szCs w:val="21"/>
                <w:highlight w:val="none"/>
              </w:rPr>
              <w:t>发出招标文件修改</w:t>
            </w:r>
          </w:p>
        </w:tc>
      </w:tr>
      <w:tr w14:paraId="385C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876" w:type="dxa"/>
            <w:noWrap w:val="0"/>
            <w:vAlign w:val="center"/>
          </w:tcPr>
          <w:p w14:paraId="62635E9C">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2.3.2</w:t>
            </w:r>
          </w:p>
        </w:tc>
        <w:tc>
          <w:tcPr>
            <w:tcW w:w="1817" w:type="dxa"/>
            <w:noWrap w:val="0"/>
            <w:vAlign w:val="center"/>
          </w:tcPr>
          <w:p w14:paraId="337D6BAE">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投标人确认收到招标文件修改</w:t>
            </w:r>
          </w:p>
        </w:tc>
        <w:tc>
          <w:tcPr>
            <w:tcW w:w="7078" w:type="dxa"/>
            <w:gridSpan w:val="2"/>
            <w:noWrap w:val="0"/>
            <w:vAlign w:val="center"/>
          </w:tcPr>
          <w:p w14:paraId="77E7F008">
            <w:pPr>
              <w:pStyle w:val="12"/>
              <w:keepNext w:val="0"/>
              <w:keepLines w:val="0"/>
              <w:widowControl/>
              <w:suppressLineNumbers w:val="0"/>
              <w:spacing w:line="390" w:lineRule="atLeast"/>
              <w:jc w:val="both"/>
              <w:rPr>
                <w:rFonts w:hint="eastAsia" w:ascii="宋体" w:hAnsi="宋体"/>
                <w:color w:val="auto"/>
                <w:sz w:val="21"/>
                <w:szCs w:val="21"/>
                <w:highlight w:val="none"/>
              </w:rPr>
            </w:pPr>
            <w:r>
              <w:rPr>
                <w:rFonts w:hint="eastAsia" w:ascii="宋体" w:hAnsi="宋体" w:eastAsia="宋体" w:cs="宋体"/>
                <w:color w:val="auto"/>
                <w:sz w:val="21"/>
                <w:szCs w:val="21"/>
                <w:highlight w:val="none"/>
              </w:rPr>
              <w:t>投保人打开修改通知时系统自动确认</w:t>
            </w:r>
          </w:p>
        </w:tc>
      </w:tr>
      <w:tr w14:paraId="5C32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876" w:type="dxa"/>
            <w:noWrap w:val="0"/>
            <w:vAlign w:val="center"/>
          </w:tcPr>
          <w:p w14:paraId="3B273A2A">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3.1.1</w:t>
            </w:r>
          </w:p>
        </w:tc>
        <w:tc>
          <w:tcPr>
            <w:tcW w:w="1817" w:type="dxa"/>
            <w:noWrap w:val="0"/>
            <w:vAlign w:val="center"/>
          </w:tcPr>
          <w:p w14:paraId="6DCD6086">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构成投标文件的其他资料</w:t>
            </w:r>
          </w:p>
        </w:tc>
        <w:tc>
          <w:tcPr>
            <w:tcW w:w="7078" w:type="dxa"/>
            <w:gridSpan w:val="2"/>
            <w:noWrap w:val="0"/>
            <w:vAlign w:val="center"/>
          </w:tcPr>
          <w:p w14:paraId="4E2F2F8A">
            <w:pPr>
              <w:adjustRightInd w:val="0"/>
              <w:snapToGrid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r>
      <w:tr w14:paraId="7A45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876" w:type="dxa"/>
            <w:noWrap w:val="0"/>
            <w:vAlign w:val="center"/>
          </w:tcPr>
          <w:p w14:paraId="0487ECC5">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3.2.1</w:t>
            </w:r>
          </w:p>
        </w:tc>
        <w:tc>
          <w:tcPr>
            <w:tcW w:w="1817" w:type="dxa"/>
            <w:noWrap w:val="0"/>
            <w:vAlign w:val="center"/>
          </w:tcPr>
          <w:p w14:paraId="6F8AB90F">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增值税税金的计算方法</w:t>
            </w:r>
          </w:p>
        </w:tc>
        <w:tc>
          <w:tcPr>
            <w:tcW w:w="7078" w:type="dxa"/>
            <w:gridSpan w:val="2"/>
            <w:noWrap w:val="0"/>
            <w:vAlign w:val="center"/>
          </w:tcPr>
          <w:p w14:paraId="16687EA7">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lang w:val="zh-CN"/>
              </w:rPr>
              <w:t>增值税税金的计算按国家相关规定执行。</w:t>
            </w:r>
          </w:p>
        </w:tc>
      </w:tr>
      <w:tr w14:paraId="4790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76" w:type="dxa"/>
            <w:noWrap w:val="0"/>
            <w:vAlign w:val="center"/>
          </w:tcPr>
          <w:p w14:paraId="019BF264">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3.2.3</w:t>
            </w:r>
          </w:p>
        </w:tc>
        <w:tc>
          <w:tcPr>
            <w:tcW w:w="1817" w:type="dxa"/>
            <w:noWrap w:val="0"/>
            <w:vAlign w:val="center"/>
          </w:tcPr>
          <w:p w14:paraId="799212D2">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报价方式</w:t>
            </w:r>
          </w:p>
        </w:tc>
        <w:tc>
          <w:tcPr>
            <w:tcW w:w="7078" w:type="dxa"/>
            <w:gridSpan w:val="2"/>
            <w:noWrap w:val="0"/>
            <w:vAlign w:val="center"/>
          </w:tcPr>
          <w:p w14:paraId="6F8C0505">
            <w:pPr>
              <w:adjustRightInd w:val="0"/>
              <w:snapToGrid w:val="0"/>
              <w:ind w:right="113"/>
              <w:jc w:val="left"/>
              <w:rPr>
                <w:rFonts w:hint="eastAsia" w:ascii="宋体" w:hAnsi="宋体"/>
                <w:color w:val="auto"/>
                <w:sz w:val="21"/>
                <w:szCs w:val="21"/>
                <w:highlight w:val="none"/>
                <w:lang w:val="zh-CN"/>
              </w:rPr>
            </w:pPr>
            <w:r>
              <w:rPr>
                <w:rFonts w:hint="eastAsia" w:ascii="宋体" w:hAnsi="宋体"/>
                <w:color w:val="auto"/>
                <w:sz w:val="21"/>
                <w:szCs w:val="21"/>
                <w:highlight w:val="none"/>
                <w:lang w:val="zh-CN"/>
              </w:rPr>
              <w:t>总价</w:t>
            </w:r>
          </w:p>
        </w:tc>
      </w:tr>
      <w:tr w14:paraId="0B2F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876" w:type="dxa"/>
            <w:noWrap w:val="0"/>
            <w:vAlign w:val="center"/>
          </w:tcPr>
          <w:p w14:paraId="7BF3D24E">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3.2.4</w:t>
            </w:r>
          </w:p>
        </w:tc>
        <w:tc>
          <w:tcPr>
            <w:tcW w:w="1817" w:type="dxa"/>
            <w:noWrap w:val="0"/>
            <w:vAlign w:val="center"/>
          </w:tcPr>
          <w:p w14:paraId="45333E29">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最高投标限价</w:t>
            </w:r>
          </w:p>
        </w:tc>
        <w:tc>
          <w:tcPr>
            <w:tcW w:w="7078" w:type="dxa"/>
            <w:gridSpan w:val="2"/>
            <w:noWrap w:val="0"/>
            <w:vAlign w:val="center"/>
          </w:tcPr>
          <w:p w14:paraId="0CC74403">
            <w:pPr>
              <w:adjustRightInd w:val="0"/>
              <w:snapToGrid w:val="0"/>
              <w:rPr>
                <w:rFonts w:hint="default"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报价系数：0.70</w:t>
            </w:r>
          </w:p>
          <w:p w14:paraId="38CD2586">
            <w:pPr>
              <w:adjustRightInd w:val="0"/>
              <w:snapToGrid w:val="0"/>
              <w:rPr>
                <w:rFonts w:hint="default" w:ascii="宋体" w:hAnsi="宋体"/>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val="en-US" w:eastAsia="zh-CN"/>
              </w:rPr>
              <w:t>监理费金额</w:t>
            </w:r>
            <w:r>
              <w:rPr>
                <w:rFonts w:hint="default" w:ascii="宋体" w:hAnsi="宋体" w:eastAsia="宋体" w:cs="Times New Roman"/>
                <w:color w:val="auto"/>
                <w:sz w:val="21"/>
                <w:szCs w:val="21"/>
                <w:highlight w:val="none"/>
                <w:lang w:val="en-US" w:eastAsia="zh-CN"/>
              </w:rPr>
              <w:t>以</w:t>
            </w:r>
            <w:r>
              <w:rPr>
                <w:rFonts w:hint="eastAsia" w:ascii="宋体" w:hAnsi="宋体" w:eastAsia="宋体" w:cs="Times New Roman"/>
                <w:color w:val="auto"/>
                <w:sz w:val="21"/>
                <w:szCs w:val="21"/>
                <w:highlight w:val="none"/>
                <w:lang w:val="en-US" w:eastAsia="zh-CN"/>
              </w:rPr>
              <w:t>定额建筑安装工程费</w:t>
            </w:r>
            <w:r>
              <w:rPr>
                <w:rFonts w:hint="default" w:ascii="宋体" w:hAnsi="宋体" w:eastAsia="宋体" w:cs="Times New Roman"/>
                <w:color w:val="auto"/>
                <w:sz w:val="21"/>
                <w:szCs w:val="21"/>
                <w:highlight w:val="none"/>
                <w:lang w:val="en-US" w:eastAsia="zh-CN"/>
              </w:rPr>
              <w:t>为基数</w:t>
            </w:r>
            <w:r>
              <w:rPr>
                <w:rFonts w:hint="eastAsia" w:ascii="宋体" w:hAnsi="宋体" w:eastAsia="宋体" w:cs="Times New Roman"/>
                <w:color w:val="auto"/>
                <w:sz w:val="21"/>
                <w:szCs w:val="21"/>
                <w:highlight w:val="none"/>
                <w:lang w:val="en-US" w:eastAsia="zh-CN"/>
              </w:rPr>
              <w:t>按《公路工程建设项目概算预算编制办法》（JTG 3830-2018）中表3.3.2-3的费率，以累进方法计算的结果乘以中标人折扣系数。</w:t>
            </w:r>
          </w:p>
        </w:tc>
      </w:tr>
      <w:tr w14:paraId="4551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876" w:type="dxa"/>
            <w:noWrap w:val="0"/>
            <w:vAlign w:val="center"/>
          </w:tcPr>
          <w:p w14:paraId="6F786F61">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3.2.5</w:t>
            </w:r>
          </w:p>
        </w:tc>
        <w:tc>
          <w:tcPr>
            <w:tcW w:w="1817" w:type="dxa"/>
            <w:noWrap w:val="0"/>
            <w:vAlign w:val="center"/>
          </w:tcPr>
          <w:p w14:paraId="558D7DC7">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投标报价的</w:t>
            </w:r>
          </w:p>
          <w:p w14:paraId="7ED0D2F0">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其他要求</w:t>
            </w:r>
          </w:p>
        </w:tc>
        <w:tc>
          <w:tcPr>
            <w:tcW w:w="7078" w:type="dxa"/>
            <w:gridSpan w:val="2"/>
            <w:noWrap w:val="0"/>
            <w:vAlign w:val="center"/>
          </w:tcPr>
          <w:p w14:paraId="7975897F">
            <w:pPr>
              <w:adjustRightInd w:val="0"/>
              <w:snapToGrid w:val="0"/>
              <w:spacing w:before="156" w:beforeLines="50" w:after="156" w:afterLines="50"/>
              <w:rPr>
                <w:rFonts w:ascii="宋体" w:hAnsi="宋体"/>
                <w:sz w:val="21"/>
                <w:szCs w:val="21"/>
                <w:highlight w:val="none"/>
              </w:rPr>
            </w:pPr>
            <w:r>
              <w:rPr>
                <w:rFonts w:hint="eastAsia" w:ascii="宋体" w:hAnsi="宋体"/>
                <w:sz w:val="21"/>
                <w:szCs w:val="21"/>
                <w:highlight w:val="none"/>
              </w:rPr>
              <w:t>因本次采用的一体化平台电子招投标系统，投标文件的投标函报价填报格式</w:t>
            </w:r>
            <w:r>
              <w:rPr>
                <w:rFonts w:hint="eastAsia" w:ascii="宋体" w:hAnsi="宋体"/>
                <w:sz w:val="21"/>
                <w:szCs w:val="21"/>
                <w:highlight w:val="none"/>
                <w:lang w:val="en-US" w:eastAsia="zh-CN"/>
              </w:rPr>
              <w:t>以百分比的方式进行</w:t>
            </w:r>
            <w:r>
              <w:rPr>
                <w:rFonts w:hint="eastAsia" w:ascii="宋体" w:hAnsi="宋体"/>
                <w:sz w:val="21"/>
                <w:szCs w:val="21"/>
                <w:highlight w:val="none"/>
              </w:rPr>
              <w:t>报价，故进行以下规定：</w:t>
            </w:r>
          </w:p>
          <w:p w14:paraId="53B29D1D">
            <w:pPr>
              <w:adjustRightInd w:val="0"/>
              <w:snapToGrid w:val="0"/>
              <w:spacing w:before="156" w:beforeLines="50" w:after="156" w:afterLines="50"/>
              <w:rPr>
                <w:rFonts w:hint="default" w:eastAsia="宋体"/>
                <w:color w:val="auto"/>
                <w:sz w:val="21"/>
                <w:szCs w:val="21"/>
                <w:highlight w:val="none"/>
                <w:lang w:val="en-US" w:eastAsia="zh-CN"/>
              </w:rPr>
            </w:pPr>
            <w:r>
              <w:rPr>
                <w:rFonts w:hint="eastAsia" w:ascii="宋体" w:hAnsi="宋体"/>
                <w:sz w:val="21"/>
                <w:szCs w:val="21"/>
                <w:highlight w:val="none"/>
              </w:rPr>
              <w:t>1、电子投标文件（报价文件）的投标函中填报的投标报价不得超过</w:t>
            </w:r>
            <w:r>
              <w:rPr>
                <w:rFonts w:hint="eastAsia" w:ascii="宋体" w:hAnsi="宋体"/>
                <w:sz w:val="21"/>
                <w:szCs w:val="21"/>
                <w:highlight w:val="none"/>
                <w:lang w:val="en-US" w:eastAsia="zh-CN"/>
              </w:rPr>
              <w:t>70%</w:t>
            </w:r>
            <w:r>
              <w:rPr>
                <w:rFonts w:hint="eastAsia" w:ascii="宋体" w:hAnsi="宋体"/>
                <w:sz w:val="21"/>
                <w:szCs w:val="21"/>
                <w:highlight w:val="none"/>
              </w:rPr>
              <w:t>，即转换后的投标报价系数不得超过0.</w:t>
            </w:r>
            <w:r>
              <w:rPr>
                <w:rFonts w:hint="eastAsia" w:ascii="宋体" w:hAnsi="宋体"/>
                <w:sz w:val="21"/>
                <w:szCs w:val="21"/>
                <w:highlight w:val="none"/>
                <w:lang w:val="en-US" w:eastAsia="zh-CN"/>
              </w:rPr>
              <w:t>70</w:t>
            </w:r>
            <w:r>
              <w:rPr>
                <w:rFonts w:hint="eastAsia" w:ascii="宋体" w:hAnsi="宋体"/>
                <w:sz w:val="21"/>
                <w:szCs w:val="21"/>
                <w:highlight w:val="none"/>
              </w:rPr>
              <w:t>。</w:t>
            </w:r>
          </w:p>
        </w:tc>
      </w:tr>
      <w:tr w14:paraId="4996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6" w:type="dxa"/>
            <w:noWrap w:val="0"/>
            <w:vAlign w:val="center"/>
          </w:tcPr>
          <w:p w14:paraId="618367FD">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3.3.1</w:t>
            </w:r>
          </w:p>
        </w:tc>
        <w:tc>
          <w:tcPr>
            <w:tcW w:w="1817" w:type="dxa"/>
            <w:noWrap w:val="0"/>
            <w:vAlign w:val="center"/>
          </w:tcPr>
          <w:p w14:paraId="7BE3618C">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投标有效期</w:t>
            </w:r>
          </w:p>
        </w:tc>
        <w:tc>
          <w:tcPr>
            <w:tcW w:w="7078" w:type="dxa"/>
            <w:gridSpan w:val="2"/>
            <w:noWrap w:val="0"/>
            <w:vAlign w:val="center"/>
          </w:tcPr>
          <w:p w14:paraId="7AB6255F">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rPr>
              <w:t>自投标人提交投标文件截止之日起计算90日</w:t>
            </w:r>
          </w:p>
        </w:tc>
      </w:tr>
      <w:tr w14:paraId="7CD9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876" w:type="dxa"/>
            <w:noWrap w:val="0"/>
            <w:vAlign w:val="center"/>
          </w:tcPr>
          <w:p w14:paraId="58BA4C5D">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3.4.1</w:t>
            </w:r>
          </w:p>
        </w:tc>
        <w:tc>
          <w:tcPr>
            <w:tcW w:w="1817" w:type="dxa"/>
            <w:noWrap w:val="0"/>
            <w:vAlign w:val="center"/>
          </w:tcPr>
          <w:p w14:paraId="273E978C">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投标保证金</w:t>
            </w:r>
          </w:p>
        </w:tc>
        <w:tc>
          <w:tcPr>
            <w:tcW w:w="7078" w:type="dxa"/>
            <w:gridSpan w:val="2"/>
            <w:noWrap w:val="0"/>
            <w:vAlign w:val="center"/>
          </w:tcPr>
          <w:p w14:paraId="44DE980D">
            <w:pPr>
              <w:pStyle w:val="10"/>
              <w:pBdr>
                <w:bottom w:val="none" w:color="auto" w:sz="0" w:space="0"/>
              </w:pBdr>
              <w:tabs>
                <w:tab w:val="clear" w:pos="4153"/>
                <w:tab w:val="clear" w:pos="8306"/>
              </w:tabs>
              <w:autoSpaceDE w:val="0"/>
              <w:autoSpaceDN w:val="0"/>
              <w:adjustRightInd w:val="0"/>
              <w:jc w:val="both"/>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投标保证金的金额：9000.00元/投标人</w:t>
            </w:r>
          </w:p>
          <w:p w14:paraId="3012A6B8">
            <w:pPr>
              <w:pStyle w:val="10"/>
              <w:pBdr>
                <w:bottom w:val="none" w:color="auto" w:sz="0" w:space="0"/>
              </w:pBdr>
              <w:tabs>
                <w:tab w:val="clear" w:pos="4153"/>
                <w:tab w:val="clear" w:pos="8306"/>
              </w:tabs>
              <w:autoSpaceDE w:val="0"/>
              <w:autoSpaceDN w:val="0"/>
              <w:adjustRightInd w:val="0"/>
              <w:jc w:val="both"/>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投标保证金可采用的其他形式：</w:t>
            </w:r>
            <w:r>
              <w:rPr>
                <w:rFonts w:hint="eastAsia"/>
                <w:sz w:val="21"/>
                <w:szCs w:val="21"/>
                <w:highlight w:val="none"/>
                <w:u w:val="single"/>
                <w:lang w:val="en-US" w:eastAsia="zh-CN"/>
              </w:rPr>
              <w:t>金融机构或</w:t>
            </w:r>
            <w:r>
              <w:rPr>
                <w:rFonts w:hint="eastAsia"/>
                <w:sz w:val="21"/>
                <w:szCs w:val="21"/>
                <w:highlight w:val="none"/>
                <w:u w:val="single"/>
              </w:rPr>
              <w:t>担保机构出具的保函</w:t>
            </w:r>
          </w:p>
          <w:p w14:paraId="5EC3D584">
            <w:pPr>
              <w:adjustRightInd w:val="0"/>
              <w:snapToGrid w:val="0"/>
              <w:rPr>
                <w:color w:val="auto"/>
                <w:sz w:val="21"/>
                <w:szCs w:val="21"/>
                <w:highlight w:val="none"/>
              </w:rPr>
            </w:pPr>
            <w:r>
              <w:rPr>
                <w:rFonts w:hint="eastAsia" w:ascii="宋体" w:hAnsi="宋体"/>
                <w:color w:val="auto"/>
                <w:sz w:val="21"/>
                <w:szCs w:val="21"/>
                <w:highlight w:val="none"/>
              </w:rPr>
              <w:t>（1）若采用现金或支票：</w:t>
            </w:r>
            <w:r>
              <w:rPr>
                <w:color w:val="auto"/>
                <w:sz w:val="21"/>
                <w:szCs w:val="21"/>
                <w:highlight w:val="none"/>
              </w:rPr>
              <w:t>投标人应在</w:t>
            </w:r>
            <w:r>
              <w:rPr>
                <w:rFonts w:hint="eastAsia"/>
                <w:color w:val="auto"/>
                <w:sz w:val="21"/>
                <w:szCs w:val="21"/>
                <w:highlight w:val="none"/>
              </w:rPr>
              <w:t>递交投标文件</w:t>
            </w:r>
            <w:r>
              <w:rPr>
                <w:color w:val="auto"/>
                <w:sz w:val="21"/>
                <w:szCs w:val="21"/>
                <w:highlight w:val="none"/>
              </w:rPr>
              <w:t>截止之日</w:t>
            </w:r>
            <w:r>
              <w:rPr>
                <w:rFonts w:hint="eastAsia"/>
                <w:color w:val="auto"/>
                <w:sz w:val="21"/>
                <w:szCs w:val="21"/>
                <w:highlight w:val="none"/>
              </w:rPr>
              <w:t>前</w:t>
            </w:r>
            <w:r>
              <w:rPr>
                <w:color w:val="auto"/>
                <w:sz w:val="21"/>
                <w:szCs w:val="21"/>
                <w:highlight w:val="none"/>
              </w:rPr>
              <w:t>，将投标保证金由投标人的基本账户一次性转入并到达招标人指定账户，否则视为投标保证金无效。</w:t>
            </w:r>
          </w:p>
          <w:p w14:paraId="504B8558">
            <w:pPr>
              <w:adjustRightInd w:val="0"/>
              <w:snapToGrid w:val="0"/>
              <w:rPr>
                <w:rFonts w:hint="eastAsia" w:ascii="宋体" w:hAnsi="宋体" w:eastAsia="宋体" w:cs="宋体"/>
                <w:color w:val="auto"/>
                <w:sz w:val="21"/>
                <w:szCs w:val="21"/>
                <w:highlight w:val="none"/>
              </w:rPr>
            </w:pPr>
            <w:r>
              <w:rPr>
                <w:color w:val="auto"/>
                <w:sz w:val="21"/>
                <w:szCs w:val="21"/>
                <w:highlight w:val="none"/>
              </w:rPr>
              <w:t>招标人</w:t>
            </w:r>
            <w:r>
              <w:rPr>
                <w:rFonts w:hint="eastAsia" w:ascii="宋体" w:hAnsi="宋体" w:eastAsia="宋体" w:cs="宋体"/>
                <w:color w:val="auto"/>
                <w:sz w:val="21"/>
                <w:szCs w:val="21"/>
                <w:highlight w:val="none"/>
              </w:rPr>
              <w:t>指定的开户银行及账号如下：</w:t>
            </w:r>
          </w:p>
          <w:p w14:paraId="360F56A2">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75982879">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31743FEF">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号：0109191000001745-20250926098</w:t>
            </w:r>
          </w:p>
          <w:p w14:paraId="1BFC8EBA">
            <w:pPr>
              <w:adjustRightInd w:val="0"/>
              <w:snapToGrid w:val="0"/>
              <w:rPr>
                <w:rFonts w:hint="eastAsia" w:ascii="宋体" w:hAnsi="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"mailto:若采用银行保函，请在一体化平台开具，并将扫描件发送到942116313@qq.com邮箱。"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若采用保函（保单），应符合《关于调整吉林省公共资源交易一体化平台电子保函担保业务的公告》（吉林省政务服务和数字化建设管理局2025年1月16日发布）规定。电子保函（保单）的真实性、合法性由投标人和开立人负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tc>
      </w:tr>
      <w:tr w14:paraId="4708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noWrap w:val="0"/>
            <w:vAlign w:val="center"/>
          </w:tcPr>
          <w:p w14:paraId="02B7C14A">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3.4.3</w:t>
            </w:r>
          </w:p>
        </w:tc>
        <w:tc>
          <w:tcPr>
            <w:tcW w:w="1817" w:type="dxa"/>
            <w:noWrap w:val="0"/>
            <w:vAlign w:val="center"/>
          </w:tcPr>
          <w:p w14:paraId="55B37E22">
            <w:pPr>
              <w:adjustRightInd w:val="0"/>
              <w:snapToGrid w:val="0"/>
              <w:jc w:val="center"/>
              <w:rPr>
                <w:rFonts w:ascii="宋体" w:hAnsi="宋体"/>
                <w:color w:val="auto"/>
                <w:sz w:val="21"/>
                <w:szCs w:val="21"/>
                <w:highlight w:val="none"/>
              </w:rPr>
            </w:pPr>
            <w:r>
              <w:rPr>
                <w:color w:val="auto"/>
                <w:sz w:val="21"/>
                <w:szCs w:val="21"/>
                <w:highlight w:val="none"/>
              </w:rPr>
              <w:t>投标保证金的</w:t>
            </w:r>
            <w:r>
              <w:rPr>
                <w:rFonts w:hint="eastAsia"/>
                <w:color w:val="auto"/>
                <w:sz w:val="21"/>
                <w:szCs w:val="21"/>
                <w:highlight w:val="none"/>
              </w:rPr>
              <w:br w:type="textWrapping"/>
            </w:r>
            <w:r>
              <w:rPr>
                <w:color w:val="auto"/>
                <w:sz w:val="21"/>
                <w:szCs w:val="21"/>
                <w:highlight w:val="none"/>
              </w:rPr>
              <w:t>利息计算原则</w:t>
            </w:r>
          </w:p>
        </w:tc>
        <w:tc>
          <w:tcPr>
            <w:tcW w:w="7078" w:type="dxa"/>
            <w:gridSpan w:val="2"/>
            <w:noWrap w:val="0"/>
            <w:vAlign w:val="center"/>
          </w:tcPr>
          <w:p w14:paraId="13D58AB3">
            <w:pPr>
              <w:adjustRightInd w:val="0"/>
              <w:snapToGrid w:val="0"/>
              <w:rPr>
                <w:rFonts w:ascii="宋体" w:hAnsi="宋体"/>
                <w:color w:val="auto"/>
                <w:sz w:val="21"/>
                <w:szCs w:val="21"/>
                <w:highlight w:val="none"/>
              </w:rPr>
            </w:pPr>
            <w:r>
              <w:rPr>
                <w:rFonts w:hint="eastAsia" w:ascii="宋体" w:hAnsi="宋体"/>
                <w:color w:val="auto"/>
                <w:sz w:val="21"/>
                <w:szCs w:val="21"/>
                <w:highlight w:val="none"/>
              </w:rPr>
              <w:t>（1）计算利息的起始日期为投标截止当日，终止日期为招标人退还投标保证金日期的前一日；</w:t>
            </w:r>
          </w:p>
          <w:p w14:paraId="74D0D776">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rPr>
              <w:t>（2）投标保证金的利息按照第（1)款所述计息时间段内招标人指定汇入银行公告的活期存款利率计付，并扣除招标人汇款手续费；</w:t>
            </w:r>
          </w:p>
          <w:p w14:paraId="28724372">
            <w:pPr>
              <w:adjustRightInd w:val="0"/>
              <w:snapToGrid w:val="0"/>
              <w:rPr>
                <w:rFonts w:ascii="宋体" w:hAnsi="宋体"/>
                <w:color w:val="auto"/>
                <w:sz w:val="21"/>
                <w:szCs w:val="21"/>
                <w:highlight w:val="none"/>
              </w:rPr>
            </w:pPr>
            <w:r>
              <w:rPr>
                <w:rFonts w:hint="eastAsia" w:ascii="宋体" w:hAnsi="宋体"/>
                <w:color w:val="auto"/>
                <w:sz w:val="21"/>
                <w:szCs w:val="21"/>
                <w:highlight w:val="none"/>
              </w:rPr>
              <w:t>（3）利息金额计算至分位，分以下尾数四舍五入。</w:t>
            </w:r>
          </w:p>
        </w:tc>
      </w:tr>
      <w:tr w14:paraId="7399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876" w:type="dxa"/>
            <w:noWrap w:val="0"/>
            <w:vAlign w:val="center"/>
          </w:tcPr>
          <w:p w14:paraId="43560A6C">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3.4.4</w:t>
            </w:r>
          </w:p>
        </w:tc>
        <w:tc>
          <w:tcPr>
            <w:tcW w:w="1817" w:type="dxa"/>
            <w:noWrap w:val="0"/>
            <w:vAlign w:val="center"/>
          </w:tcPr>
          <w:p w14:paraId="37EF1C1B">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其他可以不予退还投标保证金的情形</w:t>
            </w:r>
          </w:p>
        </w:tc>
        <w:tc>
          <w:tcPr>
            <w:tcW w:w="7078" w:type="dxa"/>
            <w:gridSpan w:val="2"/>
            <w:noWrap w:val="0"/>
            <w:vAlign w:val="center"/>
          </w:tcPr>
          <w:p w14:paraId="5E9EE0FE">
            <w:pPr>
              <w:adjustRightInd w:val="0"/>
              <w:snapToGrid w:val="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r>
      <w:tr w14:paraId="56E1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876" w:type="dxa"/>
            <w:noWrap w:val="0"/>
            <w:vAlign w:val="center"/>
          </w:tcPr>
          <w:p w14:paraId="2D11AC4D">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3.5</w:t>
            </w:r>
          </w:p>
        </w:tc>
        <w:tc>
          <w:tcPr>
            <w:tcW w:w="1817" w:type="dxa"/>
            <w:noWrap w:val="0"/>
            <w:vAlign w:val="center"/>
          </w:tcPr>
          <w:p w14:paraId="6D4E96A7">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资格审查资料的特殊要求</w:t>
            </w:r>
          </w:p>
        </w:tc>
        <w:tc>
          <w:tcPr>
            <w:tcW w:w="7078" w:type="dxa"/>
            <w:gridSpan w:val="2"/>
            <w:noWrap w:val="0"/>
            <w:vAlign w:val="center"/>
          </w:tcPr>
          <w:p w14:paraId="0DEF2A42">
            <w:pPr>
              <w:adjustRightInd w:val="0"/>
              <w:snapToGrid w:val="0"/>
              <w:rPr>
                <w:rFonts w:hint="eastAsia" w:ascii="楷体" w:hAnsi="楷体" w:eastAsia="楷体"/>
                <w:color w:val="auto"/>
                <w:sz w:val="21"/>
                <w:szCs w:val="21"/>
                <w:highlight w:val="none"/>
                <w:lang w:val="en-US" w:eastAsia="zh-CN"/>
              </w:rPr>
            </w:pPr>
            <w:r>
              <w:rPr>
                <w:rFonts w:hint="eastAsia" w:ascii="楷体" w:hAnsi="楷体" w:eastAsia="楷体"/>
                <w:color w:val="auto"/>
                <w:sz w:val="21"/>
                <w:szCs w:val="21"/>
                <w:highlight w:val="none"/>
                <w:lang w:val="en-US" w:eastAsia="zh-CN"/>
              </w:rPr>
              <w:t>/</w:t>
            </w:r>
          </w:p>
        </w:tc>
      </w:tr>
      <w:tr w14:paraId="728E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876" w:type="dxa"/>
            <w:noWrap w:val="0"/>
            <w:vAlign w:val="center"/>
          </w:tcPr>
          <w:p w14:paraId="1E8B22E7">
            <w:pPr>
              <w:adjustRightInd w:val="0"/>
              <w:snapToGrid w:val="0"/>
              <w:spacing w:before="48" w:beforeLines="20" w:after="48" w:afterLines="20"/>
              <w:jc w:val="center"/>
              <w:rPr>
                <w:rFonts w:hint="eastAsia" w:ascii="宋体" w:hAnsi="宋体"/>
                <w:color w:val="auto"/>
                <w:sz w:val="21"/>
                <w:szCs w:val="21"/>
                <w:highlight w:val="none"/>
              </w:rPr>
            </w:pPr>
            <w:r>
              <w:rPr>
                <w:rFonts w:hint="eastAsia" w:ascii="宋体" w:hAnsi="宋体"/>
                <w:color w:val="auto"/>
                <w:sz w:val="21"/>
                <w:szCs w:val="21"/>
                <w:highlight w:val="none"/>
              </w:rPr>
              <w:t>3.5.1</w:t>
            </w:r>
          </w:p>
        </w:tc>
        <w:tc>
          <w:tcPr>
            <w:tcW w:w="1817" w:type="dxa"/>
            <w:noWrap w:val="0"/>
            <w:vAlign w:val="center"/>
          </w:tcPr>
          <w:p w14:paraId="6AC7B82E">
            <w:pPr>
              <w:adjustRightInd w:val="0"/>
              <w:snapToGrid w:val="0"/>
              <w:spacing w:before="48" w:beforeLines="20" w:after="48" w:afterLines="20"/>
              <w:jc w:val="center"/>
              <w:rPr>
                <w:rFonts w:hint="eastAsia" w:ascii="宋体" w:hAnsi="宋体"/>
                <w:color w:val="auto"/>
                <w:sz w:val="21"/>
                <w:szCs w:val="21"/>
                <w:highlight w:val="none"/>
              </w:rPr>
            </w:pPr>
            <w:r>
              <w:rPr>
                <w:rFonts w:hint="eastAsia" w:ascii="宋体" w:hAnsi="宋体"/>
                <w:color w:val="auto"/>
                <w:sz w:val="21"/>
                <w:szCs w:val="21"/>
                <w:highlight w:val="none"/>
              </w:rPr>
              <w:t>投标人</w:t>
            </w:r>
          </w:p>
          <w:p w14:paraId="412BD727">
            <w:pPr>
              <w:adjustRightInd w:val="0"/>
              <w:snapToGrid w:val="0"/>
              <w:spacing w:before="48" w:beforeLines="20" w:after="48" w:afterLines="20"/>
              <w:jc w:val="center"/>
              <w:rPr>
                <w:rFonts w:hint="eastAsia" w:ascii="宋体" w:hAnsi="宋体"/>
                <w:color w:val="auto"/>
                <w:sz w:val="21"/>
                <w:szCs w:val="21"/>
                <w:highlight w:val="none"/>
              </w:rPr>
            </w:pPr>
            <w:r>
              <w:rPr>
                <w:rFonts w:hint="eastAsia" w:ascii="宋体" w:hAnsi="宋体"/>
                <w:color w:val="auto"/>
                <w:sz w:val="21"/>
                <w:szCs w:val="21"/>
                <w:highlight w:val="none"/>
              </w:rPr>
              <w:t>基本情况表</w:t>
            </w:r>
          </w:p>
        </w:tc>
        <w:tc>
          <w:tcPr>
            <w:tcW w:w="7078" w:type="dxa"/>
            <w:gridSpan w:val="2"/>
            <w:noWrap w:val="0"/>
            <w:vAlign w:val="center"/>
          </w:tcPr>
          <w:p w14:paraId="2B02B97B">
            <w:pPr>
              <w:keepLines/>
              <w:autoSpaceDE w:val="0"/>
              <w:autoSpaceDN w:val="0"/>
              <w:adjustRightInd w:val="0"/>
              <w:snapToGrid w:val="0"/>
              <w:spacing w:before="48" w:beforeLines="20" w:after="48" w:afterLines="20"/>
              <w:rPr>
                <w:rFonts w:ascii="宋体" w:hAnsi="宋体"/>
                <w:color w:val="auto"/>
                <w:kern w:val="0"/>
                <w:sz w:val="21"/>
                <w:szCs w:val="21"/>
                <w:highlight w:val="none"/>
              </w:rPr>
            </w:pPr>
            <w:r>
              <w:rPr>
                <w:rFonts w:hint="eastAsia" w:ascii="宋体" w:hAnsi="宋体"/>
                <w:color w:val="auto"/>
                <w:sz w:val="21"/>
                <w:szCs w:val="21"/>
                <w:highlight w:val="none"/>
              </w:rPr>
              <w:t>本款修改为</w:t>
            </w:r>
            <w:r>
              <w:rPr>
                <w:rFonts w:ascii="宋体" w:hAnsi="宋体"/>
                <w:color w:val="auto"/>
                <w:kern w:val="0"/>
                <w:sz w:val="21"/>
                <w:szCs w:val="21"/>
                <w:highlight w:val="none"/>
              </w:rPr>
              <w:t>：</w:t>
            </w:r>
          </w:p>
          <w:p w14:paraId="1DB4F092">
            <w:pPr>
              <w:autoSpaceDE w:val="0"/>
              <w:autoSpaceDN w:val="0"/>
              <w:adjustRightInd w:val="0"/>
              <w:snapToGrid w:val="0"/>
              <w:spacing w:before="48" w:beforeLines="20" w:after="48" w:afterLines="2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3.5.1“投标人基本情况表”应附企业法人营业执照副本和组织机构代码证（按照“三证合一”或“五证合一”登记制度进行登记的，可仅提供营业执照，下同）、监理资质证书、</w:t>
            </w:r>
            <w:r>
              <w:rPr>
                <w:rFonts w:hint="eastAsia" w:ascii="宋体" w:hAnsi="宋体" w:eastAsia="宋体" w:cs="Times New Roman"/>
                <w:color w:val="auto"/>
                <w:sz w:val="21"/>
                <w:szCs w:val="21"/>
                <w:highlight w:val="none"/>
                <w:lang w:val="en-US" w:eastAsia="zh-CN"/>
              </w:rPr>
              <w:t>质量检测机构资质证书</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检验检测机构资质认定证书（有CMA许可使用标志）</w:t>
            </w:r>
            <w:r>
              <w:rPr>
                <w:rFonts w:hint="eastAsia" w:ascii="宋体" w:hAnsi="宋体" w:eastAsia="宋体" w:cs="Times New Roman"/>
                <w:b/>
                <w:bCs/>
                <w:color w:val="auto"/>
                <w:sz w:val="21"/>
                <w:szCs w:val="21"/>
                <w:highlight w:val="none"/>
                <w:lang w:eastAsia="zh-CN"/>
              </w:rPr>
              <w:t>、</w:t>
            </w:r>
            <w:r>
              <w:rPr>
                <w:rFonts w:hint="eastAsia" w:ascii="宋体" w:hAnsi="宋体"/>
                <w:color w:val="auto"/>
                <w:sz w:val="21"/>
                <w:szCs w:val="21"/>
                <w:highlight w:val="none"/>
              </w:rPr>
              <w:t>基本账户开户</w:t>
            </w:r>
            <w:r>
              <w:rPr>
                <w:rFonts w:hint="eastAsia" w:ascii="宋体" w:hAnsi="宋体"/>
                <w:color w:val="auto"/>
                <w:sz w:val="21"/>
                <w:szCs w:val="21"/>
                <w:highlight w:val="none"/>
                <w:lang w:eastAsia="zh-CN"/>
              </w:rPr>
              <w:t>证明材料</w:t>
            </w:r>
            <w:r>
              <w:rPr>
                <w:rFonts w:hint="eastAsia" w:ascii="宋体" w:hAnsi="宋体"/>
                <w:color w:val="auto"/>
                <w:sz w:val="21"/>
                <w:szCs w:val="21"/>
                <w:highlight w:val="none"/>
              </w:rPr>
              <w:t>的复印件，投标人在交通运输部“全国公路建设市场</w:t>
            </w:r>
            <w:r>
              <w:rPr>
                <w:rFonts w:hint="eastAsia" w:ascii="宋体" w:hAnsi="宋体"/>
                <w:color w:val="auto"/>
                <w:sz w:val="21"/>
                <w:szCs w:val="21"/>
                <w:highlight w:val="none"/>
                <w:lang w:val="en-US" w:eastAsia="zh-CN"/>
              </w:rPr>
              <w:t>监督</w:t>
            </w:r>
            <w:r>
              <w:rPr>
                <w:rFonts w:hint="eastAsia" w:ascii="宋体" w:hAnsi="宋体"/>
                <w:color w:val="auto"/>
                <w:sz w:val="21"/>
                <w:szCs w:val="21"/>
                <w:highlight w:val="none"/>
              </w:rPr>
              <w:t>管理系统”公路工程施工监理资质企业名录中的网页截图复印件，以及投标人在国家企业信用信息公示系统中基础信息（体现股东及出资详细信息）的网页截图复印件。</w:t>
            </w:r>
          </w:p>
          <w:p w14:paraId="31867E34">
            <w:pPr>
              <w:autoSpaceDE w:val="0"/>
              <w:autoSpaceDN w:val="0"/>
              <w:adjustRightInd w:val="0"/>
              <w:snapToGrid w:val="0"/>
              <w:spacing w:before="48" w:beforeLines="20" w:after="48" w:afterLines="2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企业法人营业执照和组织机构代码证、监理资质证书、基本账户开户</w:t>
            </w:r>
            <w:r>
              <w:rPr>
                <w:rFonts w:hint="eastAsia" w:ascii="宋体" w:hAnsi="宋体"/>
                <w:color w:val="auto"/>
                <w:sz w:val="21"/>
                <w:szCs w:val="21"/>
                <w:highlight w:val="none"/>
                <w:lang w:eastAsia="zh-CN"/>
              </w:rPr>
              <w:t>证明材料</w:t>
            </w:r>
            <w:r>
              <w:rPr>
                <w:rFonts w:hint="eastAsia" w:ascii="宋体" w:hAnsi="宋体"/>
                <w:color w:val="auto"/>
                <w:sz w:val="21"/>
                <w:szCs w:val="21"/>
                <w:highlight w:val="none"/>
              </w:rPr>
              <w:t>的复印件应提供全本（证书封面、封底、空白页除外），应包括投标人名称、投标人其他相关信息、颁发机构名称、投标人信息变更情况等关键页在内，并逐页加盖投标人单位章。</w:t>
            </w:r>
          </w:p>
        </w:tc>
      </w:tr>
      <w:tr w14:paraId="014B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876" w:type="dxa"/>
            <w:noWrap w:val="0"/>
            <w:vAlign w:val="center"/>
          </w:tcPr>
          <w:p w14:paraId="1DED8BB4">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3.5.2</w:t>
            </w:r>
          </w:p>
        </w:tc>
        <w:tc>
          <w:tcPr>
            <w:tcW w:w="1817" w:type="dxa"/>
            <w:noWrap w:val="0"/>
            <w:vAlign w:val="center"/>
          </w:tcPr>
          <w:p w14:paraId="3A1E5D97">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近年完成的类似项目情况的时间要求</w:t>
            </w:r>
          </w:p>
        </w:tc>
        <w:tc>
          <w:tcPr>
            <w:tcW w:w="7078" w:type="dxa"/>
            <w:gridSpan w:val="2"/>
            <w:noWrap w:val="0"/>
            <w:vAlign w:val="center"/>
          </w:tcPr>
          <w:p w14:paraId="41DD83E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w:t>
            </w:r>
            <w:r>
              <w:rPr>
                <w:rFonts w:hint="eastAsia" w:ascii="宋体" w:hAnsi="宋体" w:eastAsia="宋体" w:cs="Times New Roman"/>
                <w:b w:val="0"/>
                <w:bCs w:val="0"/>
                <w:color w:val="auto"/>
                <w:sz w:val="21"/>
                <w:szCs w:val="21"/>
                <w:highlight w:val="none"/>
                <w:vertAlign w:val="superscript"/>
                <w:lang w:eastAsia="zh-CN"/>
              </w:rPr>
              <w:footnoteReference w:id="1"/>
            </w:r>
            <w:r>
              <w:rPr>
                <w:rFonts w:hint="eastAsia" w:ascii="宋体" w:hAnsi="宋体" w:eastAsia="宋体" w:cs="宋体"/>
                <w:color w:val="auto"/>
                <w:sz w:val="21"/>
                <w:szCs w:val="21"/>
                <w:highlight w:val="none"/>
              </w:rPr>
              <w:t>~投标截止时间的工程</w:t>
            </w:r>
          </w:p>
          <w:p w14:paraId="2D00BCC0">
            <w:pPr>
              <w:pStyle w:val="5"/>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sz w:val="21"/>
                <w:szCs w:val="21"/>
              </w:rPr>
            </w:pPr>
            <w:r>
              <w:rPr>
                <w:rFonts w:hint="eastAsia" w:ascii="宋体" w:hAnsi="宋体" w:cs="宋体"/>
                <w:b/>
                <w:bCs/>
                <w:sz w:val="21"/>
                <w:szCs w:val="21"/>
                <w:highlight w:val="none"/>
                <w:lang w:val="en-US" w:eastAsia="zh-CN"/>
              </w:rPr>
              <w:t>本项目的业绩证明材料应附交通运输部</w:t>
            </w:r>
            <w:r>
              <w:rPr>
                <w:rFonts w:hint="default" w:ascii="宋体" w:hAnsi="宋体" w:cs="宋体"/>
                <w:b/>
                <w:bCs/>
                <w:sz w:val="21"/>
                <w:szCs w:val="21"/>
                <w:highlight w:val="none"/>
                <w:lang w:val="en-US" w:eastAsia="zh-CN"/>
              </w:rPr>
              <w:t>“</w:t>
            </w:r>
            <w:r>
              <w:rPr>
                <w:rFonts w:hint="eastAsia" w:ascii="宋体" w:hAnsi="宋体" w:cs="宋体"/>
                <w:b/>
                <w:bCs/>
                <w:sz w:val="21"/>
                <w:szCs w:val="21"/>
                <w:highlight w:val="none"/>
                <w:lang w:val="en-US" w:eastAsia="zh-CN"/>
              </w:rPr>
              <w:t>全国公路建设市场监督管理系统</w:t>
            </w:r>
            <w:r>
              <w:rPr>
                <w:rFonts w:hint="default" w:ascii="宋体" w:hAnsi="宋体" w:cs="宋体"/>
                <w:b/>
                <w:bCs/>
                <w:sz w:val="21"/>
                <w:szCs w:val="21"/>
                <w:highlight w:val="none"/>
                <w:lang w:val="en-US" w:eastAsia="zh-CN"/>
              </w:rPr>
              <w:t>”</w:t>
            </w:r>
            <w:r>
              <w:rPr>
                <w:rFonts w:hint="eastAsia" w:ascii="宋体" w:hAnsi="宋体" w:cs="宋体"/>
                <w:b/>
                <w:bCs/>
                <w:sz w:val="21"/>
                <w:szCs w:val="21"/>
                <w:highlight w:val="none"/>
                <w:lang w:val="en-US" w:eastAsia="zh-CN"/>
              </w:rPr>
              <w:t>或省级交通运输主管部门</w:t>
            </w:r>
            <w:r>
              <w:rPr>
                <w:rFonts w:hint="default" w:ascii="宋体" w:hAnsi="宋体" w:cs="宋体"/>
                <w:b/>
                <w:bCs/>
                <w:sz w:val="21"/>
                <w:szCs w:val="21"/>
                <w:highlight w:val="none"/>
                <w:lang w:val="en-US" w:eastAsia="zh-CN"/>
              </w:rPr>
              <w:t>“</w:t>
            </w:r>
            <w:r>
              <w:rPr>
                <w:rFonts w:hint="eastAsia" w:ascii="宋体" w:hAnsi="宋体" w:cs="宋体"/>
                <w:b/>
                <w:bCs/>
                <w:sz w:val="21"/>
                <w:szCs w:val="21"/>
                <w:highlight w:val="none"/>
                <w:lang w:val="en-US" w:eastAsia="zh-CN"/>
              </w:rPr>
              <w:t>公路建设市场信用信息管理系统</w:t>
            </w:r>
            <w:r>
              <w:rPr>
                <w:rFonts w:hint="default" w:ascii="宋体" w:hAnsi="宋体" w:cs="宋体"/>
                <w:b/>
                <w:bCs/>
                <w:sz w:val="21"/>
                <w:szCs w:val="21"/>
                <w:highlight w:val="none"/>
                <w:lang w:val="en-US" w:eastAsia="zh-CN"/>
              </w:rPr>
              <w:t>”</w:t>
            </w:r>
            <w:r>
              <w:rPr>
                <w:rFonts w:hint="eastAsia" w:ascii="宋体" w:hAnsi="宋体" w:cs="宋体"/>
                <w:b/>
                <w:bCs/>
                <w:sz w:val="21"/>
                <w:szCs w:val="21"/>
                <w:highlight w:val="none"/>
                <w:lang w:val="en-US" w:eastAsia="zh-CN"/>
              </w:rPr>
              <w:t>中查询到的网页截图复印件。除网页截图复印件外，投标人无需再提供任何业绩证明材料。</w:t>
            </w:r>
          </w:p>
        </w:tc>
      </w:tr>
      <w:tr w14:paraId="6AF1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3" w:hRule="atLeast"/>
          <w:jc w:val="center"/>
        </w:trPr>
        <w:tc>
          <w:tcPr>
            <w:tcW w:w="876" w:type="dxa"/>
            <w:noWrap w:val="0"/>
            <w:vAlign w:val="center"/>
          </w:tcPr>
          <w:p w14:paraId="2D402C4F">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3.5.3</w:t>
            </w:r>
          </w:p>
        </w:tc>
        <w:tc>
          <w:tcPr>
            <w:tcW w:w="1817" w:type="dxa"/>
            <w:noWrap w:val="0"/>
            <w:vAlign w:val="center"/>
          </w:tcPr>
          <w:p w14:paraId="1628E51C">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投标人的</w:t>
            </w:r>
            <w:r>
              <w:rPr>
                <w:rFonts w:ascii="宋体" w:hAnsi="宋体"/>
                <w:color w:val="auto"/>
                <w:sz w:val="21"/>
                <w:szCs w:val="21"/>
                <w:highlight w:val="none"/>
              </w:rPr>
              <w:br w:type="textWrapping"/>
            </w:r>
            <w:r>
              <w:rPr>
                <w:rFonts w:hint="eastAsia" w:ascii="宋体" w:hAnsi="宋体"/>
                <w:color w:val="auto"/>
                <w:sz w:val="21"/>
                <w:szCs w:val="21"/>
                <w:highlight w:val="none"/>
              </w:rPr>
              <w:t>信誉情况</w:t>
            </w:r>
          </w:p>
        </w:tc>
        <w:tc>
          <w:tcPr>
            <w:tcW w:w="7078" w:type="dxa"/>
            <w:gridSpan w:val="2"/>
            <w:noWrap w:val="0"/>
            <w:vAlign w:val="center"/>
          </w:tcPr>
          <w:p w14:paraId="79EF2E19">
            <w:pPr>
              <w:autoSpaceDE w:val="0"/>
              <w:autoSpaceDN w:val="0"/>
              <w:adjustRightInd w:val="0"/>
              <w:snapToGrid w:val="0"/>
              <w:rPr>
                <w:rFonts w:hint="eastAsia"/>
                <w:color w:val="auto"/>
                <w:sz w:val="21"/>
                <w:szCs w:val="21"/>
                <w:highlight w:val="none"/>
              </w:rPr>
            </w:pPr>
            <w:r>
              <w:rPr>
                <w:rFonts w:hint="eastAsia"/>
                <w:color w:val="auto"/>
                <w:sz w:val="21"/>
                <w:szCs w:val="21"/>
                <w:highlight w:val="none"/>
              </w:rPr>
              <w:t>本款修改为：</w:t>
            </w:r>
          </w:p>
          <w:p w14:paraId="53EDFADF">
            <w:pPr>
              <w:spacing w:line="320" w:lineRule="exact"/>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3.5.3“投标人的信誉情况表”应附投标人在国家企业信用信息公示系统中是否被列入严重违法失信企业名单、在“信用中国”网站中是否被列入失信被执行人名单的网页截图复印件。投标人或其法定代表人、拟委任的总监理工程师或驻地监理工程师在近三年内无行贿犯罪行为承诺函</w:t>
            </w:r>
            <w:r>
              <w:rPr>
                <w:rFonts w:hint="eastAsia" w:ascii="宋体" w:hAnsi="宋体" w:eastAsia="宋体" w:cs="Times New Roman"/>
                <w:color w:val="auto"/>
                <w:sz w:val="21"/>
                <w:szCs w:val="21"/>
                <w:highlight w:val="none"/>
                <w:lang w:val="en-US" w:eastAsia="zh-CN"/>
              </w:rPr>
              <w:t>扫描件</w:t>
            </w:r>
            <w:r>
              <w:rPr>
                <w:rFonts w:hint="eastAsia" w:ascii="宋体" w:hAnsi="宋体" w:eastAsia="宋体" w:cs="Times New Roman"/>
                <w:color w:val="auto"/>
                <w:sz w:val="21"/>
                <w:szCs w:val="21"/>
                <w:highlight w:val="none"/>
              </w:rPr>
              <w:t>，格式自拟，需加盖投标人单位章。</w:t>
            </w:r>
          </w:p>
          <w:p w14:paraId="3A5D9179">
            <w:pPr>
              <w:rPr>
                <w:rFonts w:ascii="黑体" w:hAnsi="黑体" w:eastAsia="黑体"/>
                <w:b/>
                <w:color w:val="auto"/>
                <w:sz w:val="21"/>
                <w:szCs w:val="21"/>
                <w:highlight w:val="none"/>
              </w:rPr>
            </w:pPr>
            <w:r>
              <w:rPr>
                <w:rFonts w:ascii="黑体" w:hAnsi="黑体" w:eastAsia="黑体"/>
                <w:b/>
                <w:color w:val="auto"/>
                <w:sz w:val="21"/>
                <w:szCs w:val="21"/>
                <w:highlight w:val="none"/>
              </w:rPr>
              <w:t>本款后增加</w:t>
            </w:r>
            <w:r>
              <w:rPr>
                <w:rFonts w:hint="eastAsia" w:ascii="黑体" w:hAnsi="黑体" w:eastAsia="黑体"/>
                <w:b/>
                <w:color w:val="auto"/>
                <w:sz w:val="21"/>
                <w:szCs w:val="21"/>
                <w:highlight w:val="none"/>
              </w:rPr>
              <w:t>：</w:t>
            </w:r>
          </w:p>
          <w:p w14:paraId="25B727E0">
            <w:pPr>
              <w:spacing w:line="320" w:lineRule="exact"/>
              <w:ind w:firstLine="420" w:firstLineChars="200"/>
              <w:rPr>
                <w:rFonts w:hint="eastAsia"/>
                <w:color w:val="auto"/>
                <w:sz w:val="21"/>
                <w:szCs w:val="21"/>
                <w:highlight w:val="none"/>
              </w:rPr>
            </w:pPr>
            <w:r>
              <w:rPr>
                <w:rFonts w:hint="eastAsia" w:ascii="宋体" w:hAnsi="宋体" w:eastAsia="宋体" w:cs="Times New Roman"/>
                <w:color w:val="000000"/>
                <w:kern w:val="2"/>
                <w:sz w:val="21"/>
                <w:szCs w:val="21"/>
                <w:highlight w:val="none"/>
                <w:lang w:val="en-US" w:eastAsia="zh-CN" w:bidi="ar-SA"/>
              </w:rPr>
              <w:t>本表后还应附投标人在吉林省交通运输厅发布的《关于发布2024年度公路建设市场吉林省省级综合评价结果的通告》“吉林省2024年公路监理企业信用评价结果”、交通运输部“全国公路建设市场监督管理系统”“全国公路从业单位信用评价结果”中投标人的2023年度信用等级的网页截图和吉林省交通运输厅发布的《关于发布2023年度公路建设市场吉林省省级综合评价结果的通告》（2024年第8号）“吉林省2023年公路监理企业信用评价结果”中投标人的信用等级网页截图；投标人若无以上信用评价应附“全国公路建设市场监督管理系统”中不良行为记录网页截图。</w:t>
            </w:r>
          </w:p>
        </w:tc>
      </w:tr>
      <w:tr w14:paraId="682A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876" w:type="dxa"/>
            <w:noWrap w:val="0"/>
            <w:vAlign w:val="center"/>
          </w:tcPr>
          <w:p w14:paraId="68442C50">
            <w:pPr>
              <w:adjustRightInd w:val="0"/>
              <w:snapToGrid w:val="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3.5.4</w:t>
            </w:r>
          </w:p>
        </w:tc>
        <w:tc>
          <w:tcPr>
            <w:tcW w:w="1817" w:type="dxa"/>
            <w:noWrap w:val="0"/>
            <w:vAlign w:val="center"/>
          </w:tcPr>
          <w:p w14:paraId="2DA5122C">
            <w:pPr>
              <w:adjustRightInd w:val="0"/>
              <w:snapToGrid w:val="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拟委任的总监理工程师或驻地监理工程师资历表</w:t>
            </w:r>
          </w:p>
        </w:tc>
        <w:tc>
          <w:tcPr>
            <w:tcW w:w="7078" w:type="dxa"/>
            <w:gridSpan w:val="2"/>
            <w:noWrap w:val="0"/>
            <w:vAlign w:val="center"/>
          </w:tcPr>
          <w:p w14:paraId="01BE3AC0">
            <w:pPr>
              <w:spacing w:line="32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本项第三款修改为：</w:t>
            </w:r>
          </w:p>
          <w:p w14:paraId="7DDF7094">
            <w:pPr>
              <w:spacing w:line="320" w:lineRule="exact"/>
              <w:ind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如</w:t>
            </w:r>
            <w:r>
              <w:rPr>
                <w:rFonts w:hint="eastAsia" w:ascii="宋体" w:hAnsi="宋体"/>
                <w:color w:val="auto"/>
                <w:sz w:val="21"/>
                <w:szCs w:val="21"/>
                <w:highlight w:val="none"/>
                <w:lang w:val="en-US" w:eastAsia="zh-CN"/>
              </w:rPr>
              <w:t>总监理工程师或驻地监理工程师</w:t>
            </w:r>
            <w:r>
              <w:rPr>
                <w:rFonts w:hint="eastAsia" w:ascii="宋体" w:hAnsi="宋体" w:eastAsia="宋体" w:cs="Times New Roman"/>
                <w:color w:val="000000"/>
                <w:kern w:val="2"/>
                <w:sz w:val="21"/>
                <w:szCs w:val="21"/>
                <w:highlight w:val="none"/>
                <w:lang w:val="en-US" w:eastAsia="zh-CN" w:bidi="ar-SA"/>
              </w:rPr>
              <w:t>目前仍在其他项目上任职，则投标人应提供能够从该项目撤离的书面承诺。</w:t>
            </w:r>
          </w:p>
          <w:p w14:paraId="1A636BC9">
            <w:pPr>
              <w:pStyle w:val="5"/>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sz w:val="21"/>
                <w:szCs w:val="21"/>
                <w:lang w:val="en-US" w:eastAsia="zh-CN"/>
              </w:rPr>
            </w:pPr>
            <w:r>
              <w:rPr>
                <w:rFonts w:hint="eastAsia" w:ascii="宋体" w:hAnsi="宋体" w:cs="宋体"/>
                <w:b/>
                <w:bCs/>
                <w:sz w:val="21"/>
                <w:szCs w:val="21"/>
                <w:highlight w:val="none"/>
                <w:lang w:val="en-US" w:eastAsia="zh-CN"/>
              </w:rPr>
              <w:t>总监理工程师的业绩证明材料应附交通运输部</w:t>
            </w:r>
            <w:r>
              <w:rPr>
                <w:rFonts w:hint="default" w:ascii="宋体" w:hAnsi="宋体" w:cs="宋体"/>
                <w:b/>
                <w:bCs/>
                <w:sz w:val="21"/>
                <w:szCs w:val="21"/>
                <w:highlight w:val="none"/>
                <w:lang w:val="en-US" w:eastAsia="zh-CN"/>
              </w:rPr>
              <w:t>“</w:t>
            </w:r>
            <w:r>
              <w:rPr>
                <w:rFonts w:hint="eastAsia" w:ascii="宋体" w:hAnsi="宋体" w:cs="宋体"/>
                <w:b/>
                <w:bCs/>
                <w:sz w:val="21"/>
                <w:szCs w:val="21"/>
                <w:highlight w:val="none"/>
                <w:lang w:val="en-US" w:eastAsia="zh-CN"/>
              </w:rPr>
              <w:t>全国公路建设市场监督管理系统</w:t>
            </w:r>
            <w:r>
              <w:rPr>
                <w:rFonts w:hint="default" w:ascii="宋体" w:hAnsi="宋体" w:cs="宋体"/>
                <w:b/>
                <w:bCs/>
                <w:sz w:val="21"/>
                <w:szCs w:val="21"/>
                <w:highlight w:val="none"/>
                <w:lang w:val="en-US" w:eastAsia="zh-CN"/>
              </w:rPr>
              <w:t>”</w:t>
            </w:r>
            <w:r>
              <w:rPr>
                <w:rFonts w:hint="eastAsia" w:ascii="宋体" w:hAnsi="宋体" w:cs="宋体"/>
                <w:b/>
                <w:bCs/>
                <w:sz w:val="21"/>
                <w:szCs w:val="21"/>
                <w:highlight w:val="none"/>
                <w:lang w:val="en-US" w:eastAsia="zh-CN"/>
              </w:rPr>
              <w:t>或省级交通运输主管部门</w:t>
            </w:r>
            <w:r>
              <w:rPr>
                <w:rFonts w:hint="default" w:ascii="宋体" w:hAnsi="宋体" w:cs="宋体"/>
                <w:b/>
                <w:bCs/>
                <w:sz w:val="21"/>
                <w:szCs w:val="21"/>
                <w:highlight w:val="none"/>
                <w:lang w:val="en-US" w:eastAsia="zh-CN"/>
              </w:rPr>
              <w:t>“</w:t>
            </w:r>
            <w:r>
              <w:rPr>
                <w:rFonts w:hint="eastAsia" w:ascii="宋体" w:hAnsi="宋体" w:cs="宋体"/>
                <w:b/>
                <w:bCs/>
                <w:sz w:val="21"/>
                <w:szCs w:val="21"/>
                <w:highlight w:val="none"/>
                <w:lang w:val="en-US" w:eastAsia="zh-CN"/>
              </w:rPr>
              <w:t>公路建设市场信用信息管理系统</w:t>
            </w:r>
            <w:r>
              <w:rPr>
                <w:rFonts w:hint="default" w:ascii="宋体" w:hAnsi="宋体" w:cs="宋体"/>
                <w:b/>
                <w:bCs/>
                <w:sz w:val="21"/>
                <w:szCs w:val="21"/>
                <w:highlight w:val="none"/>
                <w:lang w:val="en-US" w:eastAsia="zh-CN"/>
              </w:rPr>
              <w:t>”</w:t>
            </w:r>
            <w:r>
              <w:rPr>
                <w:rFonts w:hint="eastAsia" w:ascii="宋体" w:hAnsi="宋体" w:cs="宋体"/>
                <w:b/>
                <w:bCs/>
                <w:sz w:val="21"/>
                <w:szCs w:val="21"/>
                <w:highlight w:val="none"/>
                <w:lang w:val="en-US" w:eastAsia="zh-CN"/>
              </w:rPr>
              <w:t>中查询到的网页截图复印件。除网页截图复印件外，投标人无需再提供任何业绩证明材料。</w:t>
            </w:r>
          </w:p>
        </w:tc>
      </w:tr>
      <w:tr w14:paraId="1451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76" w:type="dxa"/>
            <w:noWrap w:val="0"/>
            <w:vAlign w:val="center"/>
          </w:tcPr>
          <w:p w14:paraId="2F5E9C9A">
            <w:pPr>
              <w:adjustRightInd w:val="0"/>
              <w:snapToGrid w:val="0"/>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3.6.1</w:t>
            </w:r>
          </w:p>
        </w:tc>
        <w:tc>
          <w:tcPr>
            <w:tcW w:w="1817" w:type="dxa"/>
            <w:noWrap w:val="0"/>
            <w:vAlign w:val="center"/>
          </w:tcPr>
          <w:p w14:paraId="4B975F73">
            <w:pPr>
              <w:adjustRightInd w:val="0"/>
              <w:snapToGrid w:val="0"/>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是否允许递交备选投标方案</w:t>
            </w:r>
          </w:p>
        </w:tc>
        <w:tc>
          <w:tcPr>
            <w:tcW w:w="7078" w:type="dxa"/>
            <w:gridSpan w:val="2"/>
            <w:noWrap w:val="0"/>
            <w:vAlign w:val="center"/>
          </w:tcPr>
          <w:p w14:paraId="5BC527D6">
            <w:pPr>
              <w:adjustRightInd w:val="0"/>
              <w:snapToGrid w:val="0"/>
              <w:rPr>
                <w:rFonts w:hint="eastAsia" w:ascii="宋体" w:hAnsi="宋体" w:eastAsia="宋体"/>
                <w:color w:val="auto"/>
                <w:kern w:val="2"/>
                <w:sz w:val="21"/>
                <w:szCs w:val="21"/>
                <w:highlight w:val="none"/>
                <w:u w:val="single"/>
                <w:lang w:val="en-US" w:eastAsia="zh-CN" w:bidi="ar-SA"/>
              </w:rPr>
            </w:pPr>
            <w:r>
              <w:rPr>
                <w:rFonts w:hint="eastAsia" w:ascii="宋体" w:hAnsi="宋体"/>
                <w:color w:val="auto"/>
                <w:sz w:val="21"/>
                <w:szCs w:val="21"/>
                <w:highlight w:val="none"/>
              </w:rPr>
              <w:t>不允许</w:t>
            </w:r>
          </w:p>
        </w:tc>
      </w:tr>
      <w:tr w14:paraId="6CB6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876" w:type="dxa"/>
            <w:noWrap w:val="0"/>
            <w:vAlign w:val="center"/>
          </w:tcPr>
          <w:p w14:paraId="1E9A1F08">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3.7.4</w:t>
            </w:r>
          </w:p>
        </w:tc>
        <w:tc>
          <w:tcPr>
            <w:tcW w:w="1817" w:type="dxa"/>
            <w:noWrap w:val="0"/>
            <w:vAlign w:val="center"/>
          </w:tcPr>
          <w:p w14:paraId="6AC0869E">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投标文件副本份数及其他要求</w:t>
            </w:r>
          </w:p>
        </w:tc>
        <w:tc>
          <w:tcPr>
            <w:tcW w:w="7078" w:type="dxa"/>
            <w:gridSpan w:val="2"/>
            <w:noWrap w:val="0"/>
            <w:vAlign w:val="center"/>
          </w:tcPr>
          <w:p w14:paraId="69298E8C">
            <w:pPr>
              <w:snapToGrid w:val="0"/>
              <w:ind w:firstLine="211"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中标候选人在中标候选人公示后将投标文件装订成册（商务及技术文件、报价文件分别装订），递交至招标代理公司，三份（不分正副）</w:t>
            </w:r>
          </w:p>
          <w:p w14:paraId="0D8125E5">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是否要求提交电子版文件：提交电子版文件1份，电子版文件包括：</w:t>
            </w:r>
          </w:p>
          <w:p w14:paraId="3018A2DB">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）按照招标文件规定的格式、内容填写的《投标文件关键内容摘录表》（可编辑的Microsoft Word电子文件）；</w:t>
            </w:r>
          </w:p>
          <w:p w14:paraId="20E07BE1">
            <w:pPr>
              <w:tabs>
                <w:tab w:val="right" w:pos="6666"/>
              </w:tabs>
              <w:rPr>
                <w:rFonts w:hint="eastAsia" w:ascii="宋体" w:hAnsi="宋体" w:eastAsia="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以上电子文件在第二信封开标后发送到</w:t>
            </w:r>
            <w:r>
              <w:rPr>
                <w:rFonts w:hint="eastAsia" w:ascii="宋体" w:hAnsi="宋体" w:eastAsia="宋体" w:cs="宋体"/>
                <w:b/>
                <w:bCs/>
                <w:color w:val="auto"/>
                <w:highlight w:val="none"/>
                <w:lang w:val="en-US" w:eastAsia="zh-CN"/>
              </w:rPr>
              <w:t>jilinguodu@163.com</w:t>
            </w:r>
            <w:r>
              <w:rPr>
                <w:rFonts w:hint="eastAsia" w:ascii="宋体" w:hAnsi="宋体" w:eastAsia="宋体" w:cs="宋体"/>
                <w:b/>
                <w:bCs/>
                <w:color w:val="auto"/>
                <w:highlight w:val="none"/>
              </w:rPr>
              <w:t>邮箱</w:t>
            </w:r>
            <w:r>
              <w:rPr>
                <w:rFonts w:hint="eastAsia" w:ascii="宋体" w:hAnsi="宋体" w:eastAsia="宋体" w:cs="宋体"/>
                <w:b/>
                <w:bCs/>
                <w:color w:val="auto"/>
                <w:sz w:val="21"/>
                <w:szCs w:val="21"/>
                <w:highlight w:val="none"/>
                <w:lang w:val="en-US" w:eastAsia="zh-CN"/>
              </w:rPr>
              <w:t>。</w:t>
            </w:r>
          </w:p>
        </w:tc>
      </w:tr>
      <w:tr w14:paraId="58F8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876" w:type="dxa"/>
            <w:noWrap w:val="0"/>
            <w:vAlign w:val="center"/>
          </w:tcPr>
          <w:p w14:paraId="6531385D">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3.7.5</w:t>
            </w:r>
          </w:p>
        </w:tc>
        <w:tc>
          <w:tcPr>
            <w:tcW w:w="1817" w:type="dxa"/>
            <w:noWrap w:val="0"/>
            <w:vAlign w:val="center"/>
          </w:tcPr>
          <w:p w14:paraId="1596DFA2">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装订的其他要求</w:t>
            </w:r>
          </w:p>
        </w:tc>
        <w:tc>
          <w:tcPr>
            <w:tcW w:w="7078" w:type="dxa"/>
            <w:gridSpan w:val="2"/>
            <w:noWrap w:val="0"/>
            <w:vAlign w:val="center"/>
          </w:tcPr>
          <w:p w14:paraId="0D89E77F">
            <w:pPr>
              <w:adjustRightInd w:val="0"/>
              <w:snapToGrid w:val="0"/>
              <w:ind w:right="113"/>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w:t>
            </w:r>
          </w:p>
        </w:tc>
      </w:tr>
      <w:tr w14:paraId="37F0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876" w:type="dxa"/>
            <w:noWrap w:val="0"/>
            <w:vAlign w:val="center"/>
          </w:tcPr>
          <w:p w14:paraId="5EB294FA">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4.2.3</w:t>
            </w:r>
          </w:p>
        </w:tc>
        <w:tc>
          <w:tcPr>
            <w:tcW w:w="1817" w:type="dxa"/>
            <w:noWrap w:val="0"/>
            <w:vAlign w:val="center"/>
          </w:tcPr>
          <w:p w14:paraId="446002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w:t>
            </w:r>
          </w:p>
          <w:p w14:paraId="69C43A28">
            <w:pPr>
              <w:jc w:val="center"/>
              <w:rPr>
                <w:rFonts w:hint="eastAsia" w:ascii="宋体" w:hAnsi="宋体"/>
                <w:color w:val="auto"/>
                <w:sz w:val="21"/>
                <w:szCs w:val="21"/>
                <w:highlight w:val="none"/>
              </w:rPr>
            </w:pPr>
            <w:r>
              <w:rPr>
                <w:rFonts w:hint="eastAsia" w:ascii="宋体" w:hAnsi="宋体" w:eastAsia="宋体" w:cs="宋体"/>
                <w:color w:val="auto"/>
                <w:sz w:val="21"/>
                <w:szCs w:val="21"/>
                <w:highlight w:val="none"/>
              </w:rPr>
              <w:t>投标文件</w:t>
            </w:r>
          </w:p>
        </w:tc>
        <w:tc>
          <w:tcPr>
            <w:tcW w:w="7078" w:type="dxa"/>
            <w:gridSpan w:val="2"/>
            <w:noWrap w:val="0"/>
            <w:vAlign w:val="center"/>
          </w:tcPr>
          <w:p w14:paraId="315C1B41">
            <w:pPr>
              <w:autoSpaceDE w:val="0"/>
              <w:autoSpaceDN w:val="0"/>
              <w:adjustRightInd w:val="0"/>
              <w:spacing w:line="320" w:lineRule="exact"/>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bdr w:val="single" w:color="auto" w:sz="4" w:space="0"/>
                <w:lang w:val="zh-CN"/>
              </w:rPr>
              <w:t>√</w:t>
            </w:r>
            <w:r>
              <w:rPr>
                <w:rFonts w:hint="eastAsia" w:ascii="宋体" w:hAnsi="宋体" w:eastAsia="宋体" w:cs="宋体"/>
                <w:color w:val="auto"/>
                <w:kern w:val="0"/>
                <w:sz w:val="21"/>
                <w:szCs w:val="21"/>
                <w:highlight w:val="none"/>
                <w:lang w:val="zh-CN"/>
              </w:rPr>
              <w:t>否</w:t>
            </w:r>
          </w:p>
          <w:p w14:paraId="0A54DDFD">
            <w:pPr>
              <w:rPr>
                <w:rFonts w:hint="eastAsia" w:ascii="宋体" w:hAnsi="宋体"/>
                <w:color w:val="auto"/>
                <w:sz w:val="21"/>
                <w:szCs w:val="21"/>
                <w:highlight w:val="none"/>
              </w:rPr>
            </w:pPr>
            <w:r>
              <w:rPr>
                <w:rFonts w:hint="eastAsia" w:ascii="宋体" w:hAnsi="宋体" w:eastAsia="宋体" w:cs="宋体"/>
                <w:color w:val="auto"/>
                <w:kern w:val="0"/>
                <w:sz w:val="21"/>
                <w:szCs w:val="21"/>
                <w:highlight w:val="none"/>
                <w:bdr w:val="single" w:color="auto" w:sz="4" w:space="0"/>
              </w:rPr>
              <w:t> </w:t>
            </w:r>
            <w:r>
              <w:rPr>
                <w:rFonts w:hint="eastAsia" w:ascii="宋体" w:hAnsi="宋体" w:eastAsia="宋体" w:cs="宋体"/>
                <w:color w:val="auto"/>
                <w:kern w:val="0"/>
                <w:sz w:val="21"/>
                <w:szCs w:val="21"/>
                <w:highlight w:val="none"/>
                <w:lang w:val="zh-CN"/>
              </w:rPr>
              <w:t>是，退还时间：</w:t>
            </w:r>
          </w:p>
        </w:tc>
      </w:tr>
      <w:tr w14:paraId="6D5A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876" w:type="dxa"/>
            <w:noWrap w:val="0"/>
            <w:vAlign w:val="center"/>
          </w:tcPr>
          <w:p w14:paraId="34F4B78E">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5.1</w:t>
            </w:r>
          </w:p>
        </w:tc>
        <w:tc>
          <w:tcPr>
            <w:tcW w:w="1817" w:type="dxa"/>
            <w:noWrap w:val="0"/>
            <w:vAlign w:val="center"/>
          </w:tcPr>
          <w:p w14:paraId="3DF1E747">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开标时间和地点</w:t>
            </w:r>
          </w:p>
        </w:tc>
        <w:tc>
          <w:tcPr>
            <w:tcW w:w="7078" w:type="dxa"/>
            <w:gridSpan w:val="2"/>
            <w:noWrap w:val="0"/>
            <w:vAlign w:val="center"/>
          </w:tcPr>
          <w:p w14:paraId="426A8BCE">
            <w:pPr>
              <w:adjustRightInd w:val="0"/>
              <w:snapToGrid w:val="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投标文件第一个信封（商务及技术文件）开标时间：同投标截止时间</w:t>
            </w:r>
          </w:p>
          <w:p w14:paraId="2646FEFC">
            <w:pPr>
              <w:adjustRightInd w:val="0"/>
              <w:snapToGrid w:val="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投标文件第一个信封（商务及技术文件）开标地点：同递交投标文件地点</w:t>
            </w:r>
          </w:p>
          <w:p w14:paraId="7032FAC2">
            <w:pPr>
              <w:adjustRightInd w:val="0"/>
              <w:snapToGrid w:val="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投标文件第二个信封（报价文件）开标时间：见招标公告</w:t>
            </w:r>
          </w:p>
          <w:p w14:paraId="1C9553EC">
            <w:pPr>
              <w:adjustRightInd w:val="0"/>
              <w:snapToGrid w:val="0"/>
              <w:jc w:val="left"/>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投标文件第二个信封（报价文件）开标地点：见招标公告</w:t>
            </w:r>
          </w:p>
        </w:tc>
      </w:tr>
      <w:tr w14:paraId="5F42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76" w:type="dxa"/>
            <w:noWrap w:val="0"/>
            <w:vAlign w:val="center"/>
          </w:tcPr>
          <w:p w14:paraId="6A486209">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5.2.1</w:t>
            </w:r>
          </w:p>
        </w:tc>
        <w:tc>
          <w:tcPr>
            <w:tcW w:w="1817" w:type="dxa"/>
            <w:noWrap w:val="0"/>
            <w:vAlign w:val="center"/>
          </w:tcPr>
          <w:p w14:paraId="31372030">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第一个信封（商务及技术文件）开标程序</w:t>
            </w:r>
          </w:p>
        </w:tc>
        <w:tc>
          <w:tcPr>
            <w:tcW w:w="7078" w:type="dxa"/>
            <w:gridSpan w:val="2"/>
            <w:noWrap w:val="0"/>
            <w:vAlign w:val="center"/>
          </w:tcPr>
          <w:p w14:paraId="532193A2">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（1）宣布开标纪律；</w:t>
            </w:r>
          </w:p>
          <w:p w14:paraId="154189C8">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（2）公布在投标截止时间前提交投标文件的投标人数量；</w:t>
            </w:r>
          </w:p>
          <w:p w14:paraId="62B22DAA">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（3）宣布开标人、唱标人等有关人员姓名；</w:t>
            </w:r>
          </w:p>
          <w:p w14:paraId="1B3C82DA">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（4）投标人解密电子投标文件第一个信封（商务及技术文件）；</w:t>
            </w:r>
          </w:p>
          <w:p w14:paraId="578CDB00">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）公布标段名称、投标人名称、投标保证金的递交情况、</w:t>
            </w:r>
            <w:r>
              <w:rPr>
                <w:rFonts w:hint="eastAsia" w:ascii="宋体" w:hAnsi="宋体" w:eastAsia="宋体" w:cs="宋体"/>
                <w:color w:val="auto"/>
                <w:sz w:val="21"/>
                <w:szCs w:val="21"/>
                <w:highlight w:val="none"/>
                <w:lang w:val="en-US" w:eastAsia="zh-CN"/>
              </w:rPr>
              <w:t>监理服务期</w:t>
            </w:r>
            <w:r>
              <w:rPr>
                <w:rFonts w:hint="eastAsia" w:ascii="宋体" w:hAnsi="宋体" w:eastAsia="宋体" w:cs="宋体"/>
                <w:color w:val="auto"/>
                <w:sz w:val="21"/>
                <w:szCs w:val="21"/>
                <w:highlight w:val="none"/>
              </w:rPr>
              <w:t>及其他内容；</w:t>
            </w:r>
          </w:p>
          <w:p w14:paraId="06115442">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）投标人代表、招标人代表等有关人员确认</w:t>
            </w:r>
            <w:r>
              <w:rPr>
                <w:rFonts w:hint="eastAsia" w:ascii="宋体" w:hAnsi="宋体" w:eastAsia="宋体" w:cs="宋体"/>
                <w:color w:val="auto"/>
                <w:sz w:val="21"/>
                <w:szCs w:val="21"/>
                <w:highlight w:val="none"/>
                <w:lang w:val="en-US" w:eastAsia="zh-CN"/>
              </w:rPr>
              <w:t>开标结果</w:t>
            </w:r>
            <w:r>
              <w:rPr>
                <w:rFonts w:hint="eastAsia" w:ascii="宋体" w:hAnsi="宋体" w:eastAsia="宋体" w:cs="宋体"/>
                <w:color w:val="auto"/>
                <w:sz w:val="21"/>
                <w:szCs w:val="21"/>
                <w:highlight w:val="none"/>
              </w:rPr>
              <w:t>；</w:t>
            </w:r>
          </w:p>
          <w:p w14:paraId="5EF3D6F5">
            <w:pPr>
              <w:adjustRightInd w:val="0"/>
              <w:snapToGrid w:val="0"/>
              <w:ind w:right="113"/>
              <w:rPr>
                <w:rFonts w:hint="eastAsia" w:ascii="宋体" w:hAnsi="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）第一个信封（商务及技术文件）开标结束。</w:t>
            </w:r>
          </w:p>
        </w:tc>
      </w:tr>
      <w:tr w14:paraId="4C65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76" w:type="dxa"/>
            <w:noWrap w:val="0"/>
            <w:vAlign w:val="center"/>
          </w:tcPr>
          <w:p w14:paraId="009E9450">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5.2.3</w:t>
            </w:r>
          </w:p>
        </w:tc>
        <w:tc>
          <w:tcPr>
            <w:tcW w:w="1817" w:type="dxa"/>
            <w:noWrap w:val="0"/>
            <w:vAlign w:val="center"/>
          </w:tcPr>
          <w:p w14:paraId="0975FD1D">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第二个信封（报价文件）开标程序</w:t>
            </w:r>
          </w:p>
        </w:tc>
        <w:tc>
          <w:tcPr>
            <w:tcW w:w="7078" w:type="dxa"/>
            <w:gridSpan w:val="2"/>
            <w:noWrap w:val="0"/>
            <w:vAlign w:val="center"/>
          </w:tcPr>
          <w:p w14:paraId="5860C105">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（1）宣布开标纪律；</w:t>
            </w:r>
          </w:p>
          <w:p w14:paraId="410FD0A6">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（2）宣布通过投标文件第一个信封（商务及技术文件）评审的投标人名单；</w:t>
            </w:r>
          </w:p>
          <w:p w14:paraId="3DA35E2F">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（3）宣布开标人、唱标人等有关人员姓名；</w:t>
            </w:r>
          </w:p>
          <w:p w14:paraId="7279D40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）通过投标文件第一个信封（商务及技术文件）评审的投标人解密电子投标文件第二个信封（报价文件）；</w:t>
            </w:r>
          </w:p>
          <w:p w14:paraId="3A02165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）公布标段名称、投标人名称、投标报价及其他内容；</w:t>
            </w:r>
          </w:p>
          <w:p w14:paraId="564674C2">
            <w:pPr>
              <w:spacing w:line="36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计算并宣布评标基准价；</w:t>
            </w:r>
          </w:p>
          <w:p w14:paraId="2374178A">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投标人代表、招标人代表等有关人员确认</w:t>
            </w:r>
            <w:r>
              <w:rPr>
                <w:rFonts w:hint="eastAsia" w:ascii="宋体" w:hAnsi="宋体" w:eastAsia="宋体" w:cs="宋体"/>
                <w:color w:val="auto"/>
                <w:sz w:val="21"/>
                <w:szCs w:val="21"/>
                <w:highlight w:val="none"/>
                <w:lang w:val="en-US" w:eastAsia="zh-CN"/>
              </w:rPr>
              <w:t>开标结果</w:t>
            </w:r>
            <w:r>
              <w:rPr>
                <w:rFonts w:hint="eastAsia" w:ascii="宋体" w:hAnsi="宋体" w:eastAsia="宋体" w:cs="宋体"/>
                <w:color w:val="auto"/>
                <w:sz w:val="21"/>
                <w:szCs w:val="21"/>
                <w:highlight w:val="none"/>
              </w:rPr>
              <w:t>；</w:t>
            </w:r>
          </w:p>
          <w:p w14:paraId="2BEA3E73">
            <w:pPr>
              <w:adjustRightInd w:val="0"/>
              <w:snapToGrid w:val="0"/>
              <w:rPr>
                <w:rFonts w:hint="eastAsia" w:ascii="宋体" w:hAnsi="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）第二个信封（报价文件）开标结束。</w:t>
            </w:r>
          </w:p>
        </w:tc>
      </w:tr>
      <w:tr w14:paraId="6EC3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76" w:type="dxa"/>
            <w:noWrap w:val="0"/>
            <w:vAlign w:val="center"/>
          </w:tcPr>
          <w:p w14:paraId="120858A2">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6.1.1</w:t>
            </w:r>
          </w:p>
        </w:tc>
        <w:tc>
          <w:tcPr>
            <w:tcW w:w="1817" w:type="dxa"/>
            <w:noWrap w:val="0"/>
            <w:vAlign w:val="center"/>
          </w:tcPr>
          <w:p w14:paraId="0AD1151B">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评标委员会的组建</w:t>
            </w:r>
          </w:p>
        </w:tc>
        <w:tc>
          <w:tcPr>
            <w:tcW w:w="7078" w:type="dxa"/>
            <w:gridSpan w:val="2"/>
            <w:noWrap w:val="0"/>
            <w:vAlign w:val="center"/>
          </w:tcPr>
          <w:p w14:paraId="240066DA">
            <w:pPr>
              <w:rPr>
                <w:rFonts w:ascii="宋体" w:hAnsi="宋体"/>
                <w:color w:val="auto"/>
                <w:sz w:val="21"/>
                <w:szCs w:val="21"/>
                <w:highlight w:val="none"/>
              </w:rPr>
            </w:pPr>
            <w:r>
              <w:rPr>
                <w:rFonts w:ascii="宋体" w:hAnsi="宋体"/>
                <w:color w:val="auto"/>
                <w:sz w:val="21"/>
                <w:szCs w:val="21"/>
                <w:highlight w:val="none"/>
              </w:rPr>
              <w:t>评标委员会构成：</w:t>
            </w:r>
            <w:r>
              <w:rPr>
                <w:rFonts w:hint="eastAsia" w:ascii="宋体" w:hAnsi="宋体"/>
                <w:b/>
                <w:color w:val="auto"/>
                <w:sz w:val="21"/>
                <w:szCs w:val="21"/>
                <w:highlight w:val="none"/>
                <w:lang w:val="en-US" w:eastAsia="zh-CN"/>
              </w:rPr>
              <w:t>5</w:t>
            </w:r>
            <w:r>
              <w:rPr>
                <w:rFonts w:ascii="宋体" w:hAnsi="宋体"/>
                <w:color w:val="auto"/>
                <w:sz w:val="21"/>
                <w:szCs w:val="21"/>
                <w:highlight w:val="none"/>
              </w:rPr>
              <w:t>人，其中招标人代表</w:t>
            </w:r>
            <w:r>
              <w:rPr>
                <w:rFonts w:hint="eastAsia" w:ascii="宋体" w:hAnsi="宋体"/>
                <w:b/>
                <w:color w:val="auto"/>
                <w:sz w:val="21"/>
                <w:szCs w:val="21"/>
                <w:highlight w:val="none"/>
                <w:lang w:val="en-US" w:eastAsia="zh-CN"/>
              </w:rPr>
              <w:t>0</w:t>
            </w:r>
            <w:r>
              <w:rPr>
                <w:rFonts w:ascii="宋体" w:hAnsi="宋体"/>
                <w:color w:val="auto"/>
                <w:sz w:val="21"/>
                <w:szCs w:val="21"/>
                <w:highlight w:val="none"/>
              </w:rPr>
              <w:t>人，专家</w:t>
            </w:r>
            <w:r>
              <w:rPr>
                <w:rFonts w:hint="eastAsia" w:ascii="宋体" w:hAnsi="宋体"/>
                <w:b/>
                <w:color w:val="auto"/>
                <w:sz w:val="21"/>
                <w:szCs w:val="21"/>
                <w:highlight w:val="none"/>
                <w:lang w:val="en-US" w:eastAsia="zh-CN"/>
              </w:rPr>
              <w:t>5</w:t>
            </w:r>
            <w:r>
              <w:rPr>
                <w:rFonts w:ascii="宋体" w:hAnsi="宋体"/>
                <w:color w:val="auto"/>
                <w:sz w:val="21"/>
                <w:szCs w:val="21"/>
                <w:highlight w:val="none"/>
              </w:rPr>
              <w:t>人；</w:t>
            </w:r>
          </w:p>
          <w:p w14:paraId="76E2ABA3">
            <w:pPr>
              <w:adjustRightInd w:val="0"/>
              <w:snapToGrid w:val="0"/>
              <w:rPr>
                <w:rFonts w:hint="eastAsia" w:ascii="宋体" w:hAnsi="宋体"/>
                <w:color w:val="auto"/>
                <w:sz w:val="21"/>
                <w:szCs w:val="21"/>
                <w:highlight w:val="none"/>
              </w:rPr>
            </w:pPr>
            <w:r>
              <w:rPr>
                <w:rFonts w:ascii="宋体" w:hAnsi="宋体"/>
                <w:color w:val="auto"/>
                <w:sz w:val="21"/>
                <w:szCs w:val="21"/>
                <w:highlight w:val="none"/>
              </w:rPr>
              <w:t>评标专家确定</w:t>
            </w:r>
            <w:r>
              <w:rPr>
                <w:rFonts w:ascii="宋体" w:hAnsi="宋体" w:eastAsia="宋体" w:cs="Times New Roman"/>
                <w:color w:val="auto"/>
                <w:sz w:val="21"/>
                <w:szCs w:val="21"/>
                <w:highlight w:val="none"/>
              </w:rPr>
              <w:t>方式：</w:t>
            </w:r>
            <w:r>
              <w:rPr>
                <w:rFonts w:hint="eastAsia" w:ascii="宋体" w:hAnsi="宋体" w:eastAsia="宋体" w:cs="Times New Roman"/>
                <w:color w:val="auto"/>
                <w:sz w:val="21"/>
                <w:szCs w:val="21"/>
                <w:highlight w:val="none"/>
              </w:rPr>
              <w:t>依法从</w:t>
            </w:r>
            <w:r>
              <w:rPr>
                <w:rFonts w:hint="eastAsia" w:ascii="宋体" w:hAnsi="宋体" w:eastAsia="宋体" w:cs="Times New Roman"/>
                <w:color w:val="auto"/>
                <w:sz w:val="21"/>
                <w:szCs w:val="21"/>
                <w:highlight w:val="none"/>
                <w:lang w:val="en-US" w:eastAsia="zh-CN"/>
              </w:rPr>
              <w:t>长春市公共资源交易中心</w:t>
            </w:r>
            <w:r>
              <w:rPr>
                <w:rFonts w:hint="eastAsia" w:ascii="宋体" w:hAnsi="宋体" w:eastAsia="宋体" w:cs="Times New Roman"/>
                <w:color w:val="auto"/>
                <w:sz w:val="21"/>
                <w:szCs w:val="21"/>
                <w:highlight w:val="none"/>
              </w:rPr>
              <w:t>评标专家库中随机抽取</w:t>
            </w:r>
          </w:p>
        </w:tc>
      </w:tr>
      <w:tr w14:paraId="1DE3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876" w:type="dxa"/>
            <w:noWrap w:val="0"/>
            <w:vAlign w:val="center"/>
          </w:tcPr>
          <w:p w14:paraId="137A1C3A">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6.3.2</w:t>
            </w:r>
          </w:p>
        </w:tc>
        <w:tc>
          <w:tcPr>
            <w:tcW w:w="1817" w:type="dxa"/>
            <w:noWrap w:val="0"/>
            <w:vAlign w:val="center"/>
          </w:tcPr>
          <w:p w14:paraId="314611F3">
            <w:pPr>
              <w:jc w:val="center"/>
              <w:rPr>
                <w:rFonts w:hint="eastAsia" w:ascii="宋体" w:hAnsi="宋体"/>
                <w:color w:val="auto"/>
                <w:sz w:val="21"/>
                <w:szCs w:val="21"/>
                <w:highlight w:val="none"/>
              </w:rPr>
            </w:pPr>
            <w:r>
              <w:rPr>
                <w:rFonts w:hint="eastAsia" w:ascii="宋体" w:hAnsi="宋体"/>
                <w:color w:val="auto"/>
                <w:sz w:val="21"/>
                <w:szCs w:val="21"/>
                <w:highlight w:val="none"/>
              </w:rPr>
              <w:t>评标委员会推荐中标候选人的人数</w:t>
            </w:r>
          </w:p>
        </w:tc>
        <w:tc>
          <w:tcPr>
            <w:tcW w:w="7078" w:type="dxa"/>
            <w:gridSpan w:val="2"/>
            <w:noWrap w:val="0"/>
            <w:vAlign w:val="center"/>
          </w:tcPr>
          <w:p w14:paraId="4C2A3533">
            <w:pPr>
              <w:rPr>
                <w:rFonts w:hint="eastAsia"/>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名</w:t>
            </w:r>
          </w:p>
        </w:tc>
      </w:tr>
      <w:tr w14:paraId="73F3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876" w:type="dxa"/>
            <w:noWrap w:val="0"/>
            <w:vAlign w:val="center"/>
          </w:tcPr>
          <w:p w14:paraId="2469D7E2">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7.1</w:t>
            </w:r>
          </w:p>
        </w:tc>
        <w:tc>
          <w:tcPr>
            <w:tcW w:w="1817" w:type="dxa"/>
            <w:noWrap w:val="0"/>
            <w:vAlign w:val="center"/>
          </w:tcPr>
          <w:p w14:paraId="6B4A5471">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中标候选人公示媒介及期限</w:t>
            </w:r>
          </w:p>
        </w:tc>
        <w:tc>
          <w:tcPr>
            <w:tcW w:w="7078" w:type="dxa"/>
            <w:gridSpan w:val="2"/>
            <w:noWrap w:val="0"/>
            <w:vAlign w:val="center"/>
          </w:tcPr>
          <w:p w14:paraId="2A73F388">
            <w:pPr>
              <w:adjustRightInd w:val="0"/>
              <w:snapToGrid w:val="0"/>
              <w:rPr>
                <w:rFonts w:ascii="宋体" w:hAnsi="宋体"/>
                <w:sz w:val="21"/>
                <w:szCs w:val="21"/>
              </w:rPr>
            </w:pPr>
            <w:r>
              <w:rPr>
                <w:rFonts w:hint="eastAsia" w:ascii="宋体" w:hAnsi="宋体"/>
                <w:sz w:val="21"/>
                <w:szCs w:val="21"/>
              </w:rPr>
              <w:t>公示媒介：中国招标投标公共服务平台、</w:t>
            </w:r>
            <w:r>
              <w:rPr>
                <w:rFonts w:hint="eastAsia" w:ascii="宋体" w:hAnsi="宋体"/>
                <w:sz w:val="21"/>
                <w:szCs w:val="21"/>
                <w:lang w:val="en-US" w:eastAsia="zh-CN"/>
              </w:rPr>
              <w:t>长春市</w:t>
            </w:r>
            <w:r>
              <w:rPr>
                <w:rFonts w:hint="eastAsia" w:ascii="宋体" w:hAnsi="宋体"/>
                <w:sz w:val="21"/>
                <w:szCs w:val="21"/>
              </w:rPr>
              <w:t>公共资源交易中心网（同步推送到吉林省公共资源交易公共服务平台）、</w:t>
            </w:r>
            <w:r>
              <w:rPr>
                <w:rFonts w:hint="eastAsia" w:ascii="宋体" w:hAnsi="宋体"/>
                <w:sz w:val="21"/>
                <w:szCs w:val="21"/>
                <w:lang w:val="en-US" w:eastAsia="zh-CN"/>
              </w:rPr>
              <w:t>榆树市人民政府</w:t>
            </w:r>
            <w:r>
              <w:rPr>
                <w:rFonts w:hint="eastAsia" w:ascii="宋体" w:hAnsi="宋体"/>
                <w:sz w:val="21"/>
                <w:szCs w:val="21"/>
              </w:rPr>
              <w:t>网站；</w:t>
            </w:r>
          </w:p>
          <w:p w14:paraId="0B395DA2">
            <w:pPr>
              <w:adjustRightInd w:val="0"/>
              <w:snapToGrid w:val="0"/>
              <w:rPr>
                <w:rFonts w:ascii="宋体" w:hAnsi="宋体"/>
                <w:sz w:val="21"/>
                <w:szCs w:val="21"/>
              </w:rPr>
            </w:pPr>
            <w:r>
              <w:rPr>
                <w:rFonts w:hint="eastAsia" w:ascii="宋体" w:hAnsi="宋体"/>
                <w:sz w:val="21"/>
                <w:szCs w:val="21"/>
              </w:rPr>
              <w:t>公示期限：不少于3日；</w:t>
            </w:r>
          </w:p>
          <w:p w14:paraId="253C8858">
            <w:pPr>
              <w:adjustRightInd w:val="0"/>
              <w:snapToGrid w:val="0"/>
              <w:rPr>
                <w:rFonts w:hint="eastAsia" w:ascii="宋体" w:hAnsi="宋体" w:eastAsia="宋体"/>
                <w:color w:val="auto"/>
                <w:sz w:val="21"/>
                <w:szCs w:val="21"/>
                <w:highlight w:val="none"/>
                <w:lang w:val="en-US" w:eastAsia="zh-CN"/>
              </w:rPr>
            </w:pPr>
            <w:r>
              <w:rPr>
                <w:rFonts w:hint="eastAsia" w:ascii="宋体" w:hAnsi="宋体"/>
                <w:sz w:val="21"/>
                <w:szCs w:val="21"/>
              </w:rPr>
              <w:t>公示的其他内容：无。</w:t>
            </w:r>
          </w:p>
        </w:tc>
      </w:tr>
      <w:tr w14:paraId="19F0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876" w:type="dxa"/>
            <w:noWrap w:val="0"/>
            <w:vAlign w:val="center"/>
          </w:tcPr>
          <w:p w14:paraId="20B14843">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7.4</w:t>
            </w:r>
          </w:p>
        </w:tc>
        <w:tc>
          <w:tcPr>
            <w:tcW w:w="1817" w:type="dxa"/>
            <w:noWrap w:val="0"/>
            <w:vAlign w:val="center"/>
          </w:tcPr>
          <w:p w14:paraId="3B76FAB2">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是否授权评标委员会确定中标人</w:t>
            </w:r>
          </w:p>
        </w:tc>
        <w:tc>
          <w:tcPr>
            <w:tcW w:w="7078" w:type="dxa"/>
            <w:gridSpan w:val="2"/>
            <w:noWrap w:val="0"/>
            <w:vAlign w:val="center"/>
          </w:tcPr>
          <w:p w14:paraId="56EA1D11">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rPr>
              <w:t>否</w:t>
            </w:r>
          </w:p>
        </w:tc>
      </w:tr>
      <w:tr w14:paraId="3BA7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876" w:type="dxa"/>
            <w:noWrap w:val="0"/>
            <w:vAlign w:val="center"/>
          </w:tcPr>
          <w:p w14:paraId="4D10DFF7">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7.5</w:t>
            </w:r>
          </w:p>
        </w:tc>
        <w:tc>
          <w:tcPr>
            <w:tcW w:w="1817" w:type="dxa"/>
            <w:noWrap w:val="0"/>
            <w:vAlign w:val="center"/>
          </w:tcPr>
          <w:p w14:paraId="76B17073">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中标通知书和中标结果通知发出的形式</w:t>
            </w:r>
          </w:p>
        </w:tc>
        <w:tc>
          <w:tcPr>
            <w:tcW w:w="7078" w:type="dxa"/>
            <w:gridSpan w:val="2"/>
            <w:noWrap w:val="0"/>
            <w:vAlign w:val="center"/>
          </w:tcPr>
          <w:p w14:paraId="215D0767">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rPr>
              <w:t>以书面形式向中标人发出中标通知书</w:t>
            </w:r>
          </w:p>
        </w:tc>
      </w:tr>
      <w:tr w14:paraId="1F09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876" w:type="dxa"/>
            <w:noWrap w:val="0"/>
            <w:vAlign w:val="center"/>
          </w:tcPr>
          <w:p w14:paraId="0BCE953C">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7.6</w:t>
            </w:r>
          </w:p>
        </w:tc>
        <w:tc>
          <w:tcPr>
            <w:tcW w:w="1817" w:type="dxa"/>
            <w:noWrap w:val="0"/>
            <w:vAlign w:val="center"/>
          </w:tcPr>
          <w:p w14:paraId="3DCCA44C">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中标结果公告媒介及期限</w:t>
            </w:r>
          </w:p>
        </w:tc>
        <w:tc>
          <w:tcPr>
            <w:tcW w:w="7078" w:type="dxa"/>
            <w:gridSpan w:val="2"/>
            <w:noWrap w:val="0"/>
            <w:vAlign w:val="center"/>
          </w:tcPr>
          <w:p w14:paraId="547FB93A">
            <w:pPr>
              <w:adjustRightInd w:val="0"/>
              <w:snapToGrid w:val="0"/>
              <w:rPr>
                <w:rFonts w:ascii="宋体" w:hAnsi="宋体"/>
                <w:sz w:val="21"/>
                <w:szCs w:val="21"/>
              </w:rPr>
            </w:pPr>
            <w:r>
              <w:rPr>
                <w:rFonts w:hint="eastAsia" w:ascii="宋体" w:hAnsi="宋体"/>
                <w:sz w:val="21"/>
                <w:szCs w:val="21"/>
              </w:rPr>
              <w:t>公告媒介：中国招标投标公共服务平台、</w:t>
            </w:r>
            <w:r>
              <w:rPr>
                <w:rFonts w:hint="eastAsia" w:ascii="宋体" w:hAnsi="宋体"/>
                <w:sz w:val="21"/>
                <w:szCs w:val="21"/>
                <w:lang w:val="en-US" w:eastAsia="zh-CN"/>
              </w:rPr>
              <w:t>长春市</w:t>
            </w:r>
            <w:r>
              <w:rPr>
                <w:rFonts w:hint="eastAsia" w:ascii="宋体" w:hAnsi="宋体"/>
                <w:sz w:val="21"/>
                <w:szCs w:val="21"/>
              </w:rPr>
              <w:t>公共资源交易中心网（同步推送到吉林省公共资源交易公共服务平台）、</w:t>
            </w:r>
            <w:r>
              <w:rPr>
                <w:rFonts w:hint="eastAsia" w:ascii="宋体" w:hAnsi="宋体"/>
                <w:sz w:val="21"/>
                <w:szCs w:val="21"/>
                <w:lang w:val="en-US" w:eastAsia="zh-CN"/>
              </w:rPr>
              <w:t>榆树市人民政府</w:t>
            </w:r>
            <w:r>
              <w:rPr>
                <w:rFonts w:hint="eastAsia" w:ascii="宋体" w:hAnsi="宋体"/>
                <w:sz w:val="21"/>
                <w:szCs w:val="21"/>
              </w:rPr>
              <w:t>网站；</w:t>
            </w:r>
          </w:p>
          <w:p w14:paraId="19D0687E">
            <w:pPr>
              <w:adjustRightInd w:val="0"/>
              <w:snapToGrid w:val="0"/>
              <w:ind w:right="113"/>
              <w:rPr>
                <w:rFonts w:ascii="宋体" w:hAnsi="宋体"/>
                <w:color w:val="auto"/>
                <w:sz w:val="21"/>
                <w:szCs w:val="21"/>
                <w:highlight w:val="none"/>
              </w:rPr>
            </w:pPr>
            <w:r>
              <w:rPr>
                <w:rFonts w:hint="eastAsia" w:ascii="宋体" w:hAnsi="宋体"/>
                <w:sz w:val="21"/>
                <w:szCs w:val="21"/>
              </w:rPr>
              <w:t>公告期限：不少于3日；</w:t>
            </w:r>
          </w:p>
        </w:tc>
      </w:tr>
      <w:tr w14:paraId="7CC9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76" w:type="dxa"/>
            <w:noWrap w:val="0"/>
            <w:vAlign w:val="center"/>
          </w:tcPr>
          <w:p w14:paraId="05F47556">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7.7.1</w:t>
            </w:r>
          </w:p>
        </w:tc>
        <w:tc>
          <w:tcPr>
            <w:tcW w:w="1817" w:type="dxa"/>
            <w:noWrap w:val="0"/>
            <w:vAlign w:val="center"/>
          </w:tcPr>
          <w:p w14:paraId="20954C35">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履约保证金</w:t>
            </w:r>
          </w:p>
        </w:tc>
        <w:tc>
          <w:tcPr>
            <w:tcW w:w="7078" w:type="dxa"/>
            <w:gridSpan w:val="2"/>
            <w:noWrap w:val="0"/>
            <w:vAlign w:val="center"/>
          </w:tcPr>
          <w:p w14:paraId="74EA7584">
            <w:pPr>
              <w:adjustRightInd w:val="0"/>
              <w:snapToGrid w:val="0"/>
              <w:ind w:left="105" w:leftChars="50" w:right="113"/>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履约保证金的形式：</w:t>
            </w:r>
            <w:r>
              <w:rPr>
                <w:rFonts w:hint="eastAsia" w:ascii="宋体" w:hAnsi="宋体" w:cs="Calibri"/>
                <w:sz w:val="21"/>
                <w:szCs w:val="21"/>
                <w:highlight w:val="none"/>
              </w:rPr>
              <w:t>现金、支票</w:t>
            </w:r>
            <w:r>
              <w:rPr>
                <w:rFonts w:hint="eastAsia" w:ascii="宋体" w:hAnsi="宋体" w:cs="Calibri"/>
                <w:sz w:val="21"/>
                <w:szCs w:val="21"/>
                <w:highlight w:val="none"/>
                <w:lang w:eastAsia="zh-CN"/>
              </w:rPr>
              <w:t>、</w:t>
            </w:r>
            <w:r>
              <w:rPr>
                <w:rFonts w:hint="eastAsia" w:ascii="宋体" w:hAnsi="宋体" w:cs="Calibri"/>
                <w:sz w:val="21"/>
                <w:szCs w:val="21"/>
                <w:highlight w:val="none"/>
                <w:lang w:val="en-US" w:eastAsia="zh-CN"/>
              </w:rPr>
              <w:t>银行保函、</w:t>
            </w:r>
            <w:r>
              <w:rPr>
                <w:rFonts w:hint="eastAsia"/>
                <w:sz w:val="21"/>
                <w:szCs w:val="21"/>
                <w:highlight w:val="none"/>
                <w:u w:val="none"/>
                <w:lang w:val="en-US" w:eastAsia="zh-CN"/>
              </w:rPr>
              <w:t>金融机构或</w:t>
            </w:r>
            <w:r>
              <w:rPr>
                <w:rFonts w:hint="eastAsia"/>
                <w:sz w:val="21"/>
                <w:szCs w:val="21"/>
                <w:highlight w:val="none"/>
                <w:u w:val="none"/>
              </w:rPr>
              <w:t>担保机构出具的保函</w:t>
            </w:r>
            <w:r>
              <w:rPr>
                <w:rFonts w:hint="eastAsia" w:ascii="宋体" w:hAnsi="宋体" w:cs="Calibri"/>
                <w:sz w:val="21"/>
                <w:szCs w:val="21"/>
                <w:highlight w:val="none"/>
              </w:rPr>
              <w:t>。</w:t>
            </w:r>
          </w:p>
          <w:p w14:paraId="34F6E79F">
            <w:pPr>
              <w:adjustRightInd w:val="0"/>
              <w:snapToGrid w:val="0"/>
              <w:ind w:left="105" w:leftChars="50" w:right="113"/>
              <w:rPr>
                <w:rFonts w:hint="eastAsia" w:ascii="宋体" w:hAnsi="宋体"/>
                <w:color w:val="auto"/>
                <w:sz w:val="21"/>
                <w:szCs w:val="21"/>
                <w:highlight w:val="none"/>
              </w:rPr>
            </w:pPr>
            <w:r>
              <w:rPr>
                <w:rFonts w:hint="eastAsia" w:ascii="宋体" w:hAnsi="宋体"/>
                <w:color w:val="auto"/>
                <w:sz w:val="21"/>
                <w:szCs w:val="21"/>
                <w:highlight w:val="none"/>
              </w:rPr>
              <w:t>履约保证金的金额：5</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签约合同价。</w:t>
            </w:r>
          </w:p>
          <w:p w14:paraId="5E74A92E">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rPr>
              <w:t>注意：</w:t>
            </w:r>
          </w:p>
          <w:p w14:paraId="05A550C1">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（1）采用电汇形式时，应由中标人的基本账户汇入发包人指定账户。</w:t>
            </w:r>
          </w:p>
          <w:p w14:paraId="3C167DB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（2）采用支票形式时，应由中标人开立基本账户的银行开具。</w:t>
            </w:r>
          </w:p>
          <w:p w14:paraId="1F6C884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（3）采用银行保函时，应按招标文件第四章“合同条款及格式”规定的履约担保格式出具，采用银行保函时，</w:t>
            </w:r>
            <w:r>
              <w:rPr>
                <w:rFonts w:hint="eastAsia" w:ascii="宋体" w:hAnsi="宋体" w:eastAsia="宋体" w:cs="宋体"/>
                <w:bCs/>
                <w:color w:val="auto"/>
                <w:sz w:val="21"/>
                <w:szCs w:val="21"/>
                <w:highlight w:val="none"/>
              </w:rPr>
              <w:t>出具保函的银行级别</w:t>
            </w:r>
            <w:r>
              <w:rPr>
                <w:rFonts w:hint="eastAsia" w:ascii="宋体" w:hAnsi="宋体" w:eastAsia="宋体" w:cs="宋体"/>
                <w:bCs/>
                <w:color w:val="auto"/>
                <w:sz w:val="21"/>
                <w:szCs w:val="21"/>
                <w:highlight w:val="none"/>
                <w:lang w:eastAsia="zh-CN"/>
              </w:rPr>
              <w:t>建议</w:t>
            </w:r>
            <w:r>
              <w:rPr>
                <w:rFonts w:hint="eastAsia" w:ascii="宋体" w:hAnsi="宋体" w:eastAsia="宋体" w:cs="宋体"/>
                <w:bCs/>
                <w:color w:val="auto"/>
                <w:sz w:val="21"/>
                <w:szCs w:val="21"/>
                <w:highlight w:val="none"/>
              </w:rPr>
              <w:t>为“工商银行、农业银行、中国银行、建设银行、交通银行、中国邮政储蓄银行”六大国有商业银行或全国性股份制商业银行的支行及以上级别，</w:t>
            </w:r>
            <w:r>
              <w:rPr>
                <w:rFonts w:hint="eastAsia" w:ascii="宋体" w:hAnsi="宋体" w:eastAsia="宋体" w:cs="宋体"/>
                <w:color w:val="auto"/>
                <w:sz w:val="21"/>
                <w:szCs w:val="21"/>
                <w:highlight w:val="none"/>
              </w:rPr>
              <w:t>所需的费用由中标人承担。</w:t>
            </w:r>
          </w:p>
          <w:p w14:paraId="2F184B6B">
            <w:pPr>
              <w:adjustRightInd w:val="0"/>
              <w:snapToGrid w:val="0"/>
              <w:ind w:right="113"/>
              <w:rPr>
                <w:rFonts w:hint="eastAsia" w:ascii="宋体" w:hAnsi="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sz w:val="21"/>
                <w:szCs w:val="21"/>
                <w:highlight w:val="none"/>
                <w:u w:val="none"/>
                <w:lang w:val="en-US" w:eastAsia="zh-CN"/>
              </w:rPr>
              <w:t>金融机构或</w:t>
            </w:r>
            <w:r>
              <w:rPr>
                <w:rFonts w:hint="eastAsia"/>
                <w:sz w:val="21"/>
                <w:szCs w:val="21"/>
                <w:highlight w:val="none"/>
                <w:u w:val="none"/>
              </w:rPr>
              <w:t>担保机构出具的保函</w:t>
            </w:r>
            <w:r>
              <w:rPr>
                <w:rFonts w:hint="eastAsia"/>
                <w:sz w:val="21"/>
                <w:szCs w:val="21"/>
                <w:highlight w:val="none"/>
                <w:u w:val="none"/>
                <w:lang w:val="en-US" w:eastAsia="zh-CN"/>
              </w:rPr>
              <w:t>经招标人同意。</w:t>
            </w:r>
          </w:p>
        </w:tc>
      </w:tr>
      <w:tr w14:paraId="08A7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76" w:type="dxa"/>
            <w:noWrap w:val="0"/>
            <w:vAlign w:val="center"/>
          </w:tcPr>
          <w:p w14:paraId="1E5D68DA">
            <w:pPr>
              <w:adjustRightInd w:val="0"/>
              <w:snapToGrid w:val="0"/>
              <w:spacing w:before="100" w:beforeAutospacing="1" w:after="100" w:afterAutospacing="1" w:line="320" w:lineRule="exact"/>
              <w:jc w:val="center"/>
              <w:rPr>
                <w:rFonts w:hint="eastAsia" w:ascii="宋体" w:hAnsi="宋体"/>
                <w:color w:val="auto"/>
                <w:sz w:val="21"/>
                <w:szCs w:val="21"/>
                <w:highlight w:val="none"/>
              </w:rPr>
            </w:pPr>
            <w:r>
              <w:rPr>
                <w:rFonts w:hint="eastAsia" w:ascii="宋体" w:hAnsi="宋体"/>
                <w:sz w:val="21"/>
                <w:szCs w:val="21"/>
                <w:highlight w:val="none"/>
                <w:lang w:val="en-US" w:eastAsia="zh-CN"/>
              </w:rPr>
              <w:t>7.8</w:t>
            </w:r>
          </w:p>
        </w:tc>
        <w:tc>
          <w:tcPr>
            <w:tcW w:w="1817" w:type="dxa"/>
            <w:noWrap w:val="0"/>
            <w:vAlign w:val="center"/>
          </w:tcPr>
          <w:p w14:paraId="79FBB706">
            <w:pPr>
              <w:jc w:val="center"/>
              <w:rPr>
                <w:rFonts w:hint="eastAsia" w:ascii="宋体" w:hAnsi="宋体"/>
                <w:color w:val="auto"/>
                <w:sz w:val="21"/>
                <w:szCs w:val="21"/>
                <w:highlight w:val="none"/>
              </w:rPr>
            </w:pPr>
            <w:r>
              <w:rPr>
                <w:rFonts w:hint="eastAsia" w:hAnsi="宋体"/>
                <w:sz w:val="21"/>
                <w:szCs w:val="21"/>
                <w:highlight w:val="none"/>
                <w:lang w:val="en-US" w:eastAsia="zh-CN"/>
              </w:rPr>
              <w:t>签订合同</w:t>
            </w:r>
          </w:p>
        </w:tc>
        <w:tc>
          <w:tcPr>
            <w:tcW w:w="7078" w:type="dxa"/>
            <w:gridSpan w:val="2"/>
            <w:noWrap w:val="0"/>
            <w:vAlign w:val="center"/>
          </w:tcPr>
          <w:p w14:paraId="6A1571E0">
            <w:pPr>
              <w:adjustRightInd w:val="0"/>
              <w:snapToGrid w:val="0"/>
              <w:spacing w:line="340" w:lineRule="atLeast"/>
              <w:ind w:firstLine="210" w:firstLineChars="100"/>
              <w:rPr>
                <w:rFonts w:hint="eastAsia" w:ascii="黑体" w:hAnsi="黑体" w:eastAsia="黑体" w:cs="黑体"/>
                <w:b/>
                <w:bCs/>
                <w:sz w:val="21"/>
                <w:szCs w:val="21"/>
                <w:highlight w:val="none"/>
                <w:lang w:val="en-US" w:eastAsia="zh-CN"/>
              </w:rPr>
            </w:pPr>
            <w:r>
              <w:rPr>
                <w:rFonts w:hint="eastAsia" w:ascii="宋体" w:hAnsi="宋体"/>
                <w:sz w:val="21"/>
                <w:szCs w:val="21"/>
                <w:highlight w:val="none"/>
              </w:rPr>
              <w:t>增加本款：</w:t>
            </w:r>
          </w:p>
          <w:p w14:paraId="3FD92553">
            <w:pPr>
              <w:pStyle w:val="7"/>
              <w:jc w:val="left"/>
              <w:rPr>
                <w:rFonts w:hint="eastAsia" w:ascii="宋体" w:hAnsi="宋体" w:eastAsia="宋体" w:cs="宋体"/>
                <w:color w:val="auto"/>
                <w:sz w:val="21"/>
                <w:szCs w:val="21"/>
                <w:highlight w:val="none"/>
                <w:lang w:eastAsia="zh-CN"/>
              </w:rPr>
            </w:pPr>
            <w:r>
              <w:rPr>
                <w:rFonts w:hint="eastAsia" w:ascii="黑体" w:hAnsi="黑体" w:eastAsia="黑体" w:cs="黑体"/>
                <w:b/>
                <w:bCs/>
                <w:sz w:val="21"/>
                <w:szCs w:val="21"/>
                <w:highlight w:val="none"/>
                <w:lang w:val="en-US" w:eastAsia="zh-CN"/>
              </w:rPr>
              <w:t>排名第一的中标候选人放弃中标、因不可抗力不能履行合同、不按照招标文件要求提交履约保证金，或者被查实存在影响中标结果的违法行为等情形，不符合中标条件的，招标人将重新招标。</w:t>
            </w:r>
          </w:p>
        </w:tc>
      </w:tr>
      <w:tr w14:paraId="2E99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76" w:type="dxa"/>
            <w:noWrap w:val="0"/>
            <w:vAlign w:val="center"/>
          </w:tcPr>
          <w:p w14:paraId="7FA2CC20">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8.5.1</w:t>
            </w:r>
          </w:p>
        </w:tc>
        <w:tc>
          <w:tcPr>
            <w:tcW w:w="1817" w:type="dxa"/>
            <w:noWrap w:val="0"/>
            <w:vAlign w:val="center"/>
          </w:tcPr>
          <w:p w14:paraId="4F796FDA">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监督部门</w:t>
            </w:r>
          </w:p>
        </w:tc>
        <w:tc>
          <w:tcPr>
            <w:tcW w:w="7078" w:type="dxa"/>
            <w:gridSpan w:val="2"/>
            <w:noWrap w:val="0"/>
            <w:vAlign w:val="center"/>
          </w:tcPr>
          <w:p w14:paraId="54C4021F">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cs="宋体"/>
                <w:kern w:val="1"/>
                <w:sz w:val="21"/>
                <w:szCs w:val="21"/>
              </w:rPr>
            </w:pPr>
            <w:r>
              <w:rPr>
                <w:rFonts w:hint="eastAsia" w:ascii="宋体" w:hAnsi="宋体" w:cs="宋体"/>
                <w:kern w:val="1"/>
                <w:sz w:val="21"/>
                <w:szCs w:val="21"/>
                <w:lang w:val="en-US" w:eastAsia="zh-CN"/>
              </w:rPr>
              <w:t>监督部门：榆树市交通运输局</w:t>
            </w:r>
          </w:p>
          <w:p w14:paraId="3622695C">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cs="宋体"/>
                <w:kern w:val="1"/>
                <w:sz w:val="21"/>
                <w:szCs w:val="21"/>
              </w:rPr>
            </w:pPr>
            <w:r>
              <w:rPr>
                <w:rFonts w:hint="eastAsia" w:ascii="宋体" w:hAnsi="宋体" w:cs="宋体"/>
                <w:kern w:val="1"/>
                <w:sz w:val="21"/>
                <w:szCs w:val="21"/>
                <w:lang w:val="en-US" w:eastAsia="zh-CN"/>
              </w:rPr>
              <w:t>地址：榆树市府前路</w:t>
            </w:r>
          </w:p>
          <w:p w14:paraId="33C78D56">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cs="宋体"/>
                <w:kern w:val="1"/>
                <w:sz w:val="21"/>
                <w:szCs w:val="21"/>
              </w:rPr>
            </w:pPr>
            <w:r>
              <w:rPr>
                <w:rFonts w:hint="eastAsia" w:ascii="宋体" w:hAnsi="宋体" w:cs="宋体"/>
                <w:kern w:val="1"/>
                <w:sz w:val="21"/>
                <w:szCs w:val="21"/>
                <w:lang w:val="en-US" w:eastAsia="zh-CN"/>
              </w:rPr>
              <w:t>电话：0431-83623626</w:t>
            </w:r>
          </w:p>
          <w:p w14:paraId="05EE2E8D">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cs="宋体"/>
                <w:kern w:val="1"/>
                <w:sz w:val="21"/>
                <w:szCs w:val="21"/>
              </w:rPr>
            </w:pPr>
            <w:r>
              <w:rPr>
                <w:rFonts w:hint="eastAsia" w:ascii="宋体" w:hAnsi="宋体" w:cs="宋体"/>
                <w:kern w:val="1"/>
                <w:sz w:val="21"/>
                <w:szCs w:val="21"/>
                <w:lang w:val="en-US" w:eastAsia="zh-CN"/>
              </w:rPr>
              <w:t>邮编：130400</w:t>
            </w:r>
          </w:p>
          <w:p w14:paraId="493445FE">
            <w:pPr>
              <w:keepNext w:val="0"/>
              <w:keepLines w:val="0"/>
              <w:pageBreakBefore w:val="0"/>
              <w:widowControl w:val="0"/>
              <w:kinsoku/>
              <w:wordWrap/>
              <w:overflowPunct/>
              <w:topLinePunct w:val="0"/>
              <w:autoSpaceDE/>
              <w:autoSpaceDN/>
              <w:bidi w:val="0"/>
              <w:spacing w:line="240" w:lineRule="auto"/>
              <w:ind w:left="0" w:leftChars="0" w:firstLine="0" w:firstLineChars="0"/>
              <w:jc w:val="left"/>
              <w:textAlignment w:val="auto"/>
              <w:rPr>
                <w:rFonts w:ascii="宋体" w:hAnsi="宋体" w:eastAsia="宋体"/>
                <w:bCs/>
                <w:sz w:val="21"/>
                <w:szCs w:val="21"/>
              </w:rPr>
            </w:pPr>
            <w:bookmarkStart w:id="12" w:name="OLE_LINK39"/>
            <w:bookmarkStart w:id="13" w:name="OLE_LINK38"/>
            <w:r>
              <w:rPr>
                <w:rFonts w:ascii="宋体" w:hAnsi="宋体" w:eastAsia="宋体"/>
                <w:sz w:val="21"/>
                <w:szCs w:val="21"/>
              </w:rPr>
              <w:t>注：</w:t>
            </w:r>
            <w:r>
              <w:rPr>
                <w:rFonts w:hint="eastAsia" w:ascii="宋体" w:hAnsi="宋体" w:eastAsia="宋体" w:cs="宋体"/>
                <w:bCs/>
                <w:sz w:val="21"/>
                <w:szCs w:val="21"/>
              </w:rPr>
              <w:t>1、投诉人投诉时，应当提交投诉书。投诉书应当包括下列内容：</w:t>
            </w:r>
          </w:p>
          <w:p w14:paraId="055EFB0D">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ascii="宋体" w:hAnsi="宋体" w:eastAsia="宋体"/>
                <w:bCs/>
                <w:sz w:val="21"/>
                <w:szCs w:val="21"/>
              </w:rPr>
            </w:pPr>
            <w:r>
              <w:rPr>
                <w:rFonts w:hint="eastAsia" w:ascii="宋体" w:hAnsi="宋体" w:eastAsia="宋体" w:cs="宋体"/>
                <w:bCs/>
                <w:sz w:val="21"/>
                <w:szCs w:val="21"/>
              </w:rPr>
              <w:t>投诉人的名称、地址及有效联系方式；</w:t>
            </w:r>
          </w:p>
          <w:p w14:paraId="23B48093">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ascii="宋体" w:hAnsi="宋体" w:eastAsia="宋体"/>
                <w:bCs/>
                <w:sz w:val="21"/>
                <w:szCs w:val="21"/>
              </w:rPr>
            </w:pPr>
            <w:r>
              <w:rPr>
                <w:rFonts w:hint="eastAsia" w:ascii="宋体" w:hAnsi="宋体" w:eastAsia="宋体" w:cs="宋体"/>
                <w:bCs/>
                <w:sz w:val="21"/>
                <w:szCs w:val="21"/>
              </w:rPr>
              <w:t>被投诉人的名称、地址及有效联系方式；</w:t>
            </w:r>
          </w:p>
          <w:p w14:paraId="5B5DE570">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ascii="宋体" w:hAnsi="宋体" w:eastAsia="宋体"/>
                <w:bCs/>
                <w:sz w:val="21"/>
                <w:szCs w:val="21"/>
              </w:rPr>
            </w:pPr>
            <w:r>
              <w:rPr>
                <w:rFonts w:hint="eastAsia" w:ascii="宋体" w:hAnsi="宋体" w:eastAsia="宋体" w:cs="宋体"/>
                <w:bCs/>
                <w:sz w:val="21"/>
                <w:szCs w:val="21"/>
              </w:rPr>
              <w:t>投诉事项的基本事实；</w:t>
            </w:r>
          </w:p>
          <w:p w14:paraId="2F10C0B5">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ascii="宋体" w:hAnsi="宋体" w:eastAsia="宋体"/>
                <w:bCs/>
                <w:sz w:val="21"/>
                <w:szCs w:val="21"/>
              </w:rPr>
            </w:pPr>
            <w:r>
              <w:rPr>
                <w:rFonts w:hint="eastAsia" w:ascii="宋体" w:hAnsi="宋体" w:eastAsia="宋体" w:cs="宋体"/>
                <w:bCs/>
                <w:sz w:val="21"/>
                <w:szCs w:val="21"/>
              </w:rPr>
              <w:t>异议的提出及招标人答复情况；</w:t>
            </w:r>
          </w:p>
          <w:p w14:paraId="0FEC6B15">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ascii="宋体" w:hAnsi="宋体" w:eastAsia="宋体"/>
                <w:bCs/>
                <w:sz w:val="21"/>
                <w:szCs w:val="21"/>
              </w:rPr>
            </w:pPr>
            <w:r>
              <w:rPr>
                <w:rFonts w:hint="eastAsia" w:ascii="宋体" w:hAnsi="宋体" w:eastAsia="宋体" w:cs="宋体"/>
                <w:bCs/>
                <w:sz w:val="21"/>
                <w:szCs w:val="21"/>
              </w:rPr>
              <w:t>相关请求及主张；</w:t>
            </w:r>
          </w:p>
          <w:p w14:paraId="1CB05D2A">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ascii="宋体" w:hAnsi="宋体" w:eastAsia="宋体" w:cs="宋体"/>
                <w:bCs/>
                <w:sz w:val="21"/>
                <w:szCs w:val="21"/>
              </w:rPr>
            </w:pPr>
            <w:r>
              <w:rPr>
                <w:rFonts w:hint="eastAsia" w:ascii="宋体" w:hAnsi="宋体" w:eastAsia="宋体" w:cs="宋体"/>
                <w:bCs/>
                <w:sz w:val="21"/>
                <w:szCs w:val="21"/>
              </w:rPr>
              <w:t>有效线索和相关证明材料。</w:t>
            </w:r>
          </w:p>
          <w:p w14:paraId="40B97071">
            <w:pPr>
              <w:rPr>
                <w:rFonts w:ascii="楷体" w:hAnsi="楷体" w:eastAsia="楷体"/>
                <w:color w:val="auto"/>
                <w:sz w:val="21"/>
                <w:szCs w:val="21"/>
                <w:highlight w:val="none"/>
              </w:rPr>
            </w:pPr>
            <w:r>
              <w:rPr>
                <w:rFonts w:hint="eastAsia" w:ascii="宋体" w:hAnsi="宋体" w:eastAsia="宋体" w:cs="宋体"/>
                <w:bCs/>
                <w:sz w:val="21"/>
                <w:szCs w:val="21"/>
              </w:rPr>
              <w:t>2、对《公路工程建设项目招标投标管理办法》（中华人民共和国交通运输部令2015年第24号）规定应先提出异议的事项进行投诉的，应当提交已提出异议的证明文件。未按规定提出异议或者未提交已提出异议的证明文件的投诉，交通运输主管部门可以不予受理。</w:t>
            </w:r>
            <w:bookmarkEnd w:id="12"/>
            <w:bookmarkEnd w:id="13"/>
          </w:p>
        </w:tc>
      </w:tr>
      <w:tr w14:paraId="374B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76" w:type="dxa"/>
            <w:noWrap w:val="0"/>
            <w:vAlign w:val="center"/>
          </w:tcPr>
          <w:p w14:paraId="79A89359">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1817" w:type="dxa"/>
            <w:noWrap w:val="0"/>
            <w:vAlign w:val="center"/>
          </w:tcPr>
          <w:p w14:paraId="52888ED0">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是否采用电子招标投标</w:t>
            </w:r>
          </w:p>
        </w:tc>
        <w:tc>
          <w:tcPr>
            <w:tcW w:w="7078" w:type="dxa"/>
            <w:gridSpan w:val="2"/>
            <w:noWrap w:val="0"/>
            <w:vAlign w:val="center"/>
          </w:tcPr>
          <w:p w14:paraId="1449D118">
            <w:pPr>
              <w:adjustRightInd w:val="0"/>
              <w:snapToGri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是</w:t>
            </w:r>
          </w:p>
          <w:p w14:paraId="55F423E8">
            <w:pPr>
              <w:adjustRightInd w:val="0"/>
              <w:snapToGrid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本次招标全程实行电子化招投标。</w:t>
            </w:r>
          </w:p>
          <w:p w14:paraId="69AED893">
            <w:pPr>
              <w:adjustRightInd w:val="0"/>
              <w:snapToGrid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本次招投标使用</w:t>
            </w:r>
            <w:r>
              <w:rPr>
                <w:rFonts w:hint="eastAsia" w:ascii="宋体" w:hAnsi="宋体" w:eastAsia="宋体" w:cs="宋体"/>
                <w:color w:val="auto"/>
                <w:sz w:val="21"/>
                <w:szCs w:val="21"/>
                <w:highlight w:val="none"/>
                <w:lang w:val="en-US"/>
              </w:rPr>
              <w:t>吉林省</w:t>
            </w:r>
            <w:r>
              <w:rPr>
                <w:rFonts w:hint="eastAsia" w:ascii="宋体" w:hAnsi="宋体" w:eastAsia="宋体" w:cs="宋体"/>
                <w:color w:val="auto"/>
                <w:sz w:val="21"/>
                <w:szCs w:val="21"/>
                <w:highlight w:val="none"/>
                <w:lang w:val="zh-CN"/>
              </w:rPr>
              <w:t>公共资源交易一体化平台系统，具体要求详见《关于做好全省公共资源交易一体化平台全面运行工作的通知》（吉政数联〔2022〕5号）文件。</w:t>
            </w:r>
          </w:p>
          <w:p w14:paraId="18828ECE">
            <w:pPr>
              <w:adjustRightInd w:val="0"/>
              <w:snapToGrid w:val="0"/>
              <w:rPr>
                <w:rFonts w:hint="eastAsia"/>
                <w:sz w:val="21"/>
                <w:szCs w:val="21"/>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在“吉林省公路建设市场信用信息服务系统”（以下简称“省公路信息系统”）完成注册及信息填报，具体操作流程详见“吉林省交通运输厅关于征集公路养护项目从业企业信息有关情况的公告”。投标人宜在投标截止时间15天前完成省公路信息系统注册及信息填报。</w:t>
            </w:r>
          </w:p>
        </w:tc>
      </w:tr>
      <w:tr w14:paraId="1E27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9771" w:type="dxa"/>
            <w:gridSpan w:val="4"/>
            <w:noWrap w:val="0"/>
            <w:vAlign w:val="center"/>
          </w:tcPr>
          <w:p w14:paraId="00B59F7B">
            <w:pPr>
              <w:adjustRightInd w:val="0"/>
              <w:snapToGrid w:val="0"/>
              <w:rPr>
                <w:rFonts w:hint="eastAsia" w:ascii="宋体" w:hAnsi="宋体"/>
                <w:color w:val="auto"/>
                <w:sz w:val="21"/>
                <w:szCs w:val="21"/>
                <w:highlight w:val="none"/>
              </w:rPr>
            </w:pPr>
            <w:r>
              <w:rPr>
                <w:rFonts w:hint="eastAsia" w:ascii="宋体" w:hAnsi="宋体"/>
                <w:color w:val="auto"/>
                <w:sz w:val="21"/>
                <w:szCs w:val="21"/>
                <w:highlight w:val="none"/>
              </w:rPr>
              <w:t>需要补充的其他内容</w:t>
            </w:r>
          </w:p>
        </w:tc>
      </w:tr>
      <w:tr w14:paraId="2CE6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76" w:type="dxa"/>
            <w:noWrap w:val="0"/>
            <w:vAlign w:val="center"/>
          </w:tcPr>
          <w:p w14:paraId="5566A66F">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10.2</w:t>
            </w:r>
          </w:p>
        </w:tc>
        <w:tc>
          <w:tcPr>
            <w:tcW w:w="8895" w:type="dxa"/>
            <w:gridSpan w:val="3"/>
            <w:noWrap w:val="0"/>
            <w:vAlign w:val="center"/>
          </w:tcPr>
          <w:p w14:paraId="14D200AB">
            <w:pPr>
              <w:spacing w:line="400" w:lineRule="exact"/>
              <w:rPr>
                <w:rFonts w:hint="default" w:ascii="宋体" w:hAnsi="宋体" w:eastAsia="宋体"/>
                <w:color w:val="auto"/>
                <w:sz w:val="21"/>
                <w:szCs w:val="21"/>
                <w:highlight w:val="none"/>
                <w:lang w:val="en-US" w:eastAsia="zh-CN"/>
              </w:rPr>
            </w:pPr>
            <w:r>
              <w:rPr>
                <w:rFonts w:hint="eastAsia" w:ascii="宋体" w:hAnsi="宋体" w:eastAsia="宋体" w:cs="宋体"/>
                <w:sz w:val="21"/>
                <w:szCs w:val="21"/>
                <w:highlight w:val="none"/>
              </w:rPr>
              <w:t>用于本项目的招标代理服务费由招标人通过中标人支付，投标人应将此费用计入投标报价内，但不得单独报价。</w:t>
            </w:r>
            <w:r>
              <w:rPr>
                <w:rFonts w:hint="eastAsia" w:ascii="宋体" w:hAnsi="宋体" w:eastAsia="宋体" w:cs="宋体"/>
                <w:sz w:val="21"/>
                <w:szCs w:val="21"/>
                <w:highlight w:val="none"/>
                <w:lang w:val="zh-CN" w:eastAsia="zh-CN"/>
              </w:rPr>
              <w:t>执行发改价格〔2015〕299号文件收取招标代理服务费,由中标单位支付。</w:t>
            </w:r>
          </w:p>
        </w:tc>
      </w:tr>
      <w:tr w14:paraId="59E5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76" w:type="dxa"/>
            <w:noWrap w:val="0"/>
            <w:vAlign w:val="center"/>
          </w:tcPr>
          <w:p w14:paraId="7C3D3B62">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10.</w:t>
            </w:r>
            <w:r>
              <w:rPr>
                <w:rFonts w:hint="eastAsia" w:ascii="宋体" w:hAnsi="宋体"/>
                <w:color w:val="auto"/>
                <w:sz w:val="21"/>
                <w:szCs w:val="21"/>
                <w:highlight w:val="none"/>
                <w:lang w:val="en-US" w:eastAsia="zh-CN"/>
              </w:rPr>
              <w:t>3</w:t>
            </w:r>
          </w:p>
        </w:tc>
        <w:tc>
          <w:tcPr>
            <w:tcW w:w="1820" w:type="dxa"/>
            <w:gridSpan w:val="2"/>
            <w:noWrap w:val="0"/>
            <w:vAlign w:val="center"/>
          </w:tcPr>
          <w:p w14:paraId="53D761EA">
            <w:pPr>
              <w:jc w:val="center"/>
              <w:rPr>
                <w:rFonts w:hint="eastAsia" w:ascii="宋体" w:hAnsi="宋体"/>
                <w:color w:val="auto"/>
                <w:sz w:val="21"/>
                <w:szCs w:val="21"/>
                <w:highlight w:val="none"/>
              </w:rPr>
            </w:pPr>
            <w:r>
              <w:rPr>
                <w:rFonts w:hint="eastAsia" w:ascii="宋体" w:hAnsi="宋体"/>
                <w:color w:val="auto"/>
                <w:sz w:val="21"/>
                <w:szCs w:val="21"/>
                <w:highlight w:val="none"/>
              </w:rPr>
              <w:t>词语定义</w:t>
            </w:r>
          </w:p>
        </w:tc>
        <w:tc>
          <w:tcPr>
            <w:tcW w:w="7075" w:type="dxa"/>
            <w:noWrap w:val="0"/>
            <w:vAlign w:val="center"/>
          </w:tcPr>
          <w:p w14:paraId="688E3655">
            <w:pPr>
              <w:adjustRightInd w:val="0"/>
              <w:snapToGrid w:val="0"/>
              <w:spacing w:before="60" w:beforeLines="25" w:after="60" w:afterLines="25"/>
              <w:rPr>
                <w:rFonts w:ascii="宋体" w:hAnsi="宋体"/>
                <w:color w:val="auto"/>
                <w:sz w:val="21"/>
                <w:szCs w:val="21"/>
                <w:highlight w:val="none"/>
              </w:rPr>
            </w:pPr>
            <w:r>
              <w:rPr>
                <w:rFonts w:hint="eastAsia" w:ascii="宋体" w:hAnsi="宋体"/>
                <w:color w:val="auto"/>
                <w:sz w:val="21"/>
                <w:szCs w:val="21"/>
                <w:highlight w:val="none"/>
              </w:rPr>
              <w:t>（1）本文件中所称的“以上”、“以下”、“以内”，包括本数；所称的“以外”，不包括本数。</w:t>
            </w:r>
          </w:p>
          <w:p w14:paraId="4EE80A96">
            <w:pPr>
              <w:rPr>
                <w:color w:val="auto"/>
                <w:sz w:val="21"/>
                <w:szCs w:val="21"/>
                <w:highlight w:val="none"/>
              </w:rPr>
            </w:pPr>
            <w:r>
              <w:rPr>
                <w:rFonts w:hint="eastAsia" w:ascii="宋体" w:hAnsi="宋体"/>
                <w:color w:val="auto"/>
                <w:sz w:val="21"/>
                <w:szCs w:val="21"/>
                <w:highlight w:val="none"/>
              </w:rPr>
              <w:t>（2）除有特殊说明外，本文件中所称的“近3年”或“近5年”，是指自投标截止时间所在年度起逆推3年或5年。如：投标截止时间所在年度为202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年，“近</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年”的年限从20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年1月1日算起</w:t>
            </w:r>
            <w:r>
              <w:rPr>
                <w:rFonts w:ascii="宋体" w:hAnsi="宋体" w:eastAsia="宋体" w:cs="宋体"/>
                <w:color w:val="auto"/>
                <w:sz w:val="21"/>
                <w:szCs w:val="21"/>
                <w:highlight w:val="none"/>
              </w:rPr>
              <w:t>。</w:t>
            </w:r>
          </w:p>
        </w:tc>
      </w:tr>
      <w:tr w14:paraId="2D90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876" w:type="dxa"/>
            <w:noWrap w:val="0"/>
            <w:vAlign w:val="center"/>
          </w:tcPr>
          <w:p w14:paraId="6DE7FACE">
            <w:pPr>
              <w:jc w:val="center"/>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rPr>
              <w:t>10.4</w:t>
            </w:r>
          </w:p>
        </w:tc>
        <w:tc>
          <w:tcPr>
            <w:tcW w:w="1820" w:type="dxa"/>
            <w:gridSpan w:val="2"/>
            <w:noWrap w:val="0"/>
            <w:vAlign w:val="center"/>
          </w:tcPr>
          <w:p w14:paraId="78900373">
            <w:pPr>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证明材料</w:t>
            </w:r>
          </w:p>
        </w:tc>
        <w:tc>
          <w:tcPr>
            <w:tcW w:w="7075" w:type="dxa"/>
            <w:noWrap w:val="0"/>
            <w:vAlign w:val="center"/>
          </w:tcPr>
          <w:p w14:paraId="3743BB1C">
            <w:pPr>
              <w:rPr>
                <w:rFonts w:hint="eastAsia"/>
                <w:color w:val="auto"/>
                <w:kern w:val="2"/>
                <w:sz w:val="21"/>
                <w:szCs w:val="21"/>
                <w:highlight w:val="none"/>
                <w:lang w:val="en-US" w:eastAsia="zh-CN" w:bidi="ar-SA"/>
              </w:rPr>
            </w:pPr>
            <w:r>
              <w:rPr>
                <w:rFonts w:hint="eastAsia" w:ascii="宋体" w:hAnsi="宋体"/>
                <w:color w:val="auto"/>
                <w:sz w:val="21"/>
                <w:szCs w:val="21"/>
                <w:highlight w:val="none"/>
              </w:rPr>
              <w:t>招标文件中要求投标人提供的各类证照复印件均指彩色复印件或彩色扫描件，其他资料的复印件可为黑白扫描件或黑白复印件。</w:t>
            </w:r>
          </w:p>
        </w:tc>
      </w:tr>
      <w:tr w14:paraId="1B6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9" w:hRule="atLeast"/>
          <w:jc w:val="center"/>
        </w:trPr>
        <w:tc>
          <w:tcPr>
            <w:tcW w:w="876" w:type="dxa"/>
            <w:noWrap w:val="0"/>
            <w:vAlign w:val="center"/>
          </w:tcPr>
          <w:p w14:paraId="2A1113A1">
            <w:pPr>
              <w:jc w:val="center"/>
              <w:rPr>
                <w:rFonts w:hint="default" w:ascii="宋体" w:hAnsi="宋体" w:cs="宋体"/>
                <w:color w:val="auto"/>
                <w:sz w:val="21"/>
                <w:szCs w:val="21"/>
                <w:highlight w:val="none"/>
                <w:lang w:val="en-US" w:eastAsia="zh-CN"/>
              </w:rPr>
            </w:pPr>
            <w:bookmarkStart w:id="14" w:name="EBc549bd72791c4c438b3a35a74dc3293d"/>
            <w:r>
              <w:rPr>
                <w:rFonts w:hint="eastAsia" w:ascii="宋体" w:hAnsi="宋体" w:eastAsia="宋体" w:cs="宋体"/>
                <w:color w:val="auto"/>
                <w:kern w:val="0"/>
                <w:sz w:val="21"/>
                <w:szCs w:val="21"/>
                <w:highlight w:val="none"/>
              </w:rPr>
              <w:t>10.5</w:t>
            </w:r>
          </w:p>
        </w:tc>
        <w:tc>
          <w:tcPr>
            <w:tcW w:w="1820" w:type="dxa"/>
            <w:gridSpan w:val="2"/>
            <w:noWrap w:val="0"/>
            <w:vAlign w:val="center"/>
          </w:tcPr>
          <w:p w14:paraId="3D2E5B25">
            <w:pPr>
              <w:jc w:val="center"/>
              <w:rPr>
                <w:rFonts w:hint="default"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lang w:eastAsia="zh-CN"/>
              </w:rPr>
              <w:t>视频直播</w:t>
            </w:r>
          </w:p>
        </w:tc>
        <w:tc>
          <w:tcPr>
            <w:tcW w:w="7075" w:type="dxa"/>
            <w:noWrap w:val="0"/>
            <w:vAlign w:val="center"/>
          </w:tcPr>
          <w:p w14:paraId="5FA5F1C9">
            <w:pPr>
              <w:keepNext w:val="0"/>
              <w:keepLines w:val="0"/>
              <w:widowControl/>
              <w:suppressLineNumbers w:val="0"/>
              <w:jc w:val="left"/>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本项目采用</w:t>
            </w:r>
            <w:r>
              <w:rPr>
                <w:rFonts w:hint="eastAsia" w:ascii="宋体" w:hAnsi="宋体"/>
                <w:sz w:val="21"/>
                <w:szCs w:val="21"/>
                <w:highlight w:val="none"/>
                <w:lang w:eastAsia="zh-CN"/>
              </w:rPr>
              <w:t>“</w:t>
            </w:r>
            <w:r>
              <w:rPr>
                <w:rFonts w:hint="eastAsia" w:ascii="楷体" w:hAnsi="楷体" w:eastAsia="楷体" w:cs="楷体"/>
                <w:color w:val="000000"/>
                <w:kern w:val="0"/>
                <w:sz w:val="21"/>
                <w:szCs w:val="21"/>
                <w:highlight w:val="none"/>
                <w:lang w:val="en-US" w:eastAsia="zh-CN" w:bidi="ar"/>
              </w:rPr>
              <w:t>吉林省公共资源交易一体化平台</w:t>
            </w:r>
            <w:r>
              <w:rPr>
                <w:rFonts w:ascii="楷体" w:hAnsi="楷体" w:eastAsia="楷体" w:cs="楷体"/>
                <w:color w:val="000000"/>
                <w:kern w:val="0"/>
                <w:sz w:val="21"/>
                <w:szCs w:val="21"/>
                <w:highlight w:val="none"/>
                <w:lang w:val="en-US" w:eastAsia="zh-CN" w:bidi="ar"/>
              </w:rPr>
              <w:t>”中的“吉林省不见面开标大厅”中远程视频</w:t>
            </w:r>
            <w:r>
              <w:rPr>
                <w:rFonts w:hint="eastAsia" w:ascii="楷体" w:hAnsi="楷体" w:eastAsia="楷体" w:cs="楷体"/>
                <w:color w:val="000000"/>
                <w:kern w:val="0"/>
                <w:sz w:val="21"/>
                <w:szCs w:val="21"/>
                <w:highlight w:val="none"/>
                <w:lang w:val="en-US" w:eastAsia="zh-CN" w:bidi="ar"/>
              </w:rPr>
              <w:t>系统。</w:t>
            </w:r>
            <w:r>
              <w:rPr>
                <w:rFonts w:hint="eastAsia" w:ascii="宋体" w:hAnsi="宋体"/>
                <w:sz w:val="21"/>
                <w:szCs w:val="21"/>
                <w:highlight w:val="none"/>
              </w:rPr>
              <w:t>投标人未参加视频开标会议的，或未完全参加视频开标会议全过程的，视为认同开标会议结果。</w:t>
            </w:r>
          </w:p>
          <w:p w14:paraId="56867870">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文件解密时需插上生成投标文件的CA锁进行解密，且正确输入密码，投标人未在规定的时间内完成解密的视为无效投标。投标人由于数字证书遗失、损坏、更换、续期等自身原因情况导致投标文件无法解密，由投标人自行承担责任。</w:t>
            </w:r>
          </w:p>
          <w:p w14:paraId="541F47B7">
            <w:pPr>
              <w:pStyle w:val="5"/>
              <w:rPr>
                <w:rFonts w:hint="default"/>
                <w:sz w:val="21"/>
                <w:szCs w:val="21"/>
                <w:highlight w:val="none"/>
                <w:lang w:val="en-US" w:eastAsia="zh-CN"/>
              </w:rPr>
            </w:pPr>
            <w:r>
              <w:rPr>
                <w:rFonts w:hint="eastAsia" w:ascii="宋体" w:hAnsi="宋体" w:eastAsia="宋体" w:cs="宋体"/>
                <w:b/>
                <w:bCs w:val="0"/>
                <w:sz w:val="21"/>
                <w:szCs w:val="21"/>
                <w:highlight w:val="none"/>
                <w:lang w:val="en-US" w:eastAsia="zh-CN"/>
              </w:rPr>
              <w:t>3、投标截止时间后因投标人原因未在规定时间内解密投标文件，招标人将不退还投标保证金，并报上级主管部门建议将其列入黑名单。</w:t>
            </w:r>
          </w:p>
        </w:tc>
      </w:tr>
      <w:tr w14:paraId="6896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76" w:type="dxa"/>
            <w:noWrap w:val="0"/>
            <w:vAlign w:val="center"/>
          </w:tcPr>
          <w:p w14:paraId="7E98A4AC">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10.6</w:t>
            </w:r>
          </w:p>
        </w:tc>
        <w:tc>
          <w:tcPr>
            <w:tcW w:w="1820" w:type="dxa"/>
            <w:gridSpan w:val="2"/>
            <w:noWrap w:val="0"/>
            <w:vAlign w:val="center"/>
          </w:tcPr>
          <w:p w14:paraId="0E2C0469">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投标函</w:t>
            </w:r>
          </w:p>
        </w:tc>
        <w:tc>
          <w:tcPr>
            <w:tcW w:w="7075" w:type="dxa"/>
            <w:noWrap w:val="0"/>
            <w:vAlign w:val="center"/>
          </w:tcPr>
          <w:p w14:paraId="21AAB971">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本项目采用的通用范本，投标函为施工招标文件投标函且无法修改。</w:t>
            </w:r>
            <w:r>
              <w:rPr>
                <w:rFonts w:hint="eastAsia" w:ascii="宋体" w:hAnsi="宋体" w:eastAsia="宋体" w:cs="宋体"/>
                <w:b w:val="0"/>
                <w:bCs w:val="0"/>
                <w:sz w:val="21"/>
                <w:szCs w:val="21"/>
                <w:highlight w:val="none"/>
                <w:lang w:val="en-US" w:eastAsia="zh-CN"/>
              </w:rPr>
              <w:t>现对该投标函填写做如下说明。</w:t>
            </w:r>
          </w:p>
          <w:p w14:paraId="127DEA0F">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一、第一信封投标函</w:t>
            </w:r>
          </w:p>
          <w:p w14:paraId="13BDA218">
            <w:pPr>
              <w:pStyle w:val="6"/>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val="0"/>
                <w:bCs w:val="0"/>
                <w:i w:val="0"/>
                <w:iCs w:val="0"/>
                <w:spacing w:val="7"/>
                <w:sz w:val="21"/>
                <w:szCs w:val="21"/>
                <w:highlight w:val="none"/>
                <w:lang w:val="en-US" w:eastAsia="zh-CN"/>
              </w:rPr>
              <w:t>1、工期</w:t>
            </w:r>
            <w:r>
              <w:rPr>
                <w:rFonts w:hint="eastAsia" w:ascii="宋体" w:hAnsi="宋体" w:eastAsia="宋体" w:cs="宋体"/>
                <w:b w:val="0"/>
                <w:bCs w:val="0"/>
                <w:i w:val="0"/>
                <w:iCs w:val="0"/>
                <w:color w:val="auto"/>
                <w:kern w:val="2"/>
                <w:sz w:val="21"/>
                <w:szCs w:val="21"/>
                <w:highlight w:val="none"/>
                <w:lang w:val="en-US" w:eastAsia="zh-CN" w:bidi="ar-SA"/>
              </w:rPr>
              <w:t>：36日历天。</w:t>
            </w:r>
          </w:p>
          <w:p w14:paraId="0A3F257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2、将下列内容：“</w:t>
            </w:r>
            <w:r>
              <w:rPr>
                <w:rFonts w:hint="eastAsia" w:ascii="宋体" w:hAnsi="宋体"/>
                <w:color w:val="auto"/>
                <w:sz w:val="21"/>
                <w:szCs w:val="21"/>
                <w:highlight w:val="none"/>
              </w:rPr>
              <w:t>监</w:t>
            </w:r>
            <w:r>
              <w:rPr>
                <w:rFonts w:ascii="宋体" w:hAnsi="宋体"/>
                <w:color w:val="auto"/>
                <w:sz w:val="21"/>
                <w:szCs w:val="21"/>
                <w:highlight w:val="none"/>
              </w:rPr>
              <w:t>理服务期限</w:t>
            </w:r>
            <w:r>
              <w:rPr>
                <w:rFonts w:hint="eastAsia" w:ascii="宋体" w:hAnsi="宋体" w:cs="宋体"/>
                <w:color w:val="auto"/>
                <w:kern w:val="0"/>
                <w:sz w:val="21"/>
                <w:szCs w:val="21"/>
                <w:highlight w:val="none"/>
                <w:u w:val="none"/>
                <w:lang w:val="en-US" w:eastAsia="zh-CN"/>
              </w:rPr>
              <w:t>766</w:t>
            </w:r>
            <w:r>
              <w:rPr>
                <w:rFonts w:hint="eastAsia" w:ascii="宋体" w:hAnsi="宋体" w:cs="宋体"/>
                <w:color w:val="auto"/>
                <w:kern w:val="0"/>
                <w:sz w:val="21"/>
                <w:szCs w:val="21"/>
                <w:highlight w:val="none"/>
                <w:lang w:val="zh-CN"/>
              </w:rPr>
              <w:t>日</w:t>
            </w:r>
            <w:r>
              <w:rPr>
                <w:rFonts w:ascii="宋体" w:hAnsi="宋体" w:cs="宋体"/>
                <w:color w:val="auto"/>
                <w:kern w:val="0"/>
                <w:sz w:val="21"/>
                <w:szCs w:val="21"/>
                <w:highlight w:val="none"/>
                <w:lang w:val="zh-CN"/>
              </w:rPr>
              <w:t>历天</w:t>
            </w:r>
            <w:r>
              <w:rPr>
                <w:rFonts w:hint="eastAsia" w:ascii="宋体" w:hAnsi="宋体" w:cs="宋体"/>
                <w:color w:val="auto"/>
                <w:kern w:val="0"/>
                <w:sz w:val="21"/>
                <w:szCs w:val="21"/>
                <w:highlight w:val="none"/>
                <w:lang w:val="zh-CN"/>
              </w:rPr>
              <w:t>，</w:t>
            </w:r>
            <w:r>
              <w:rPr>
                <w:rFonts w:hint="eastAsia" w:ascii="宋体" w:hAnsi="宋体" w:eastAsia="宋体" w:cs="宋体"/>
                <w:i w:val="0"/>
                <w:iCs w:val="0"/>
                <w:caps w:val="0"/>
                <w:color w:val="000000"/>
                <w:spacing w:val="0"/>
                <w:sz w:val="21"/>
                <w:szCs w:val="21"/>
                <w:highlight w:val="none"/>
                <w:shd w:val="clear" w:color="auto" w:fill="FFFFFF"/>
              </w:rPr>
              <w:t>其中计划施工期</w:t>
            </w:r>
            <w:r>
              <w:rPr>
                <w:rFonts w:hint="eastAsia" w:ascii="宋体" w:hAnsi="宋体" w:eastAsia="宋体" w:cs="宋体"/>
                <w:i w:val="0"/>
                <w:iCs w:val="0"/>
                <w:caps w:val="0"/>
                <w:color w:val="000000"/>
                <w:spacing w:val="0"/>
                <w:sz w:val="21"/>
                <w:szCs w:val="21"/>
                <w:highlight w:val="none"/>
                <w:shd w:val="clear" w:color="auto" w:fill="FFFFFF"/>
                <w:lang w:val="en-US" w:eastAsia="zh-CN"/>
              </w:rPr>
              <w:t>36</w:t>
            </w:r>
            <w:r>
              <w:rPr>
                <w:rFonts w:hint="eastAsia" w:ascii="宋体" w:hAnsi="宋体" w:eastAsia="宋体" w:cs="宋体"/>
                <w:i w:val="0"/>
                <w:iCs w:val="0"/>
                <w:caps w:val="0"/>
                <w:color w:val="000000"/>
                <w:spacing w:val="0"/>
                <w:sz w:val="21"/>
                <w:szCs w:val="21"/>
                <w:highlight w:val="none"/>
                <w:shd w:val="clear" w:color="auto" w:fill="FFFFFF"/>
              </w:rPr>
              <w:t>日历天（</w:t>
            </w:r>
            <w:r>
              <w:rPr>
                <w:rFonts w:hint="eastAsia" w:ascii="宋体" w:hAnsi="宋体" w:cs="宋体"/>
                <w:sz w:val="21"/>
                <w:szCs w:val="21"/>
                <w:highlight w:val="none"/>
              </w:rPr>
              <w:t>202</w:t>
            </w:r>
            <w:r>
              <w:rPr>
                <w:rFonts w:hint="eastAsia" w:ascii="宋体" w:hAnsi="宋体" w:cs="宋体"/>
                <w:sz w:val="21"/>
                <w:szCs w:val="21"/>
                <w:highlight w:val="non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lang w:val="en-US" w:eastAsia="zh-CN"/>
              </w:rPr>
              <w:t>10</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w:t>
            </w:r>
            <w:r>
              <w:rPr>
                <w:rFonts w:hint="eastAsia" w:ascii="宋体" w:hAnsi="宋体" w:cs="宋体"/>
                <w:sz w:val="21"/>
                <w:szCs w:val="21"/>
                <w:highlight w:val="none"/>
                <w:lang w:eastAsia="zh-CN"/>
              </w:rPr>
              <w:t>—</w:t>
            </w:r>
            <w:r>
              <w:rPr>
                <w:rFonts w:hint="eastAsia" w:ascii="宋体" w:hAnsi="宋体" w:cs="宋体"/>
                <w:sz w:val="21"/>
                <w:szCs w:val="21"/>
                <w:highlight w:val="none"/>
              </w:rPr>
              <w:t>202</w:t>
            </w:r>
            <w:r>
              <w:rPr>
                <w:rFonts w:hint="eastAsia" w:ascii="宋体" w:hAnsi="宋体" w:cs="宋体"/>
                <w:sz w:val="21"/>
                <w:szCs w:val="21"/>
                <w:highlight w:val="non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cs="宋体"/>
                <w:sz w:val="21"/>
                <w:szCs w:val="21"/>
                <w:highlight w:val="none"/>
              </w:rPr>
              <w:t>月</w:t>
            </w:r>
            <w:r>
              <w:rPr>
                <w:rFonts w:hint="eastAsia" w:ascii="宋体" w:hAnsi="宋体" w:cs="宋体"/>
                <w:sz w:val="21"/>
                <w:szCs w:val="21"/>
                <w:highlight w:val="none"/>
                <w:lang w:val="en-US" w:eastAsia="zh-CN"/>
              </w:rPr>
              <w:t>30</w:t>
            </w:r>
            <w:r>
              <w:rPr>
                <w:rFonts w:hint="eastAsia" w:ascii="宋体" w:hAnsi="宋体" w:cs="宋体"/>
                <w:sz w:val="21"/>
                <w:szCs w:val="21"/>
                <w:highlight w:val="none"/>
              </w:rPr>
              <w:t>日</w:t>
            </w:r>
            <w:r>
              <w:rPr>
                <w:rFonts w:hint="eastAsia" w:ascii="宋体" w:hAnsi="宋体" w:eastAsia="宋体" w:cs="宋体"/>
                <w:i w:val="0"/>
                <w:iCs w:val="0"/>
                <w:caps w:val="0"/>
                <w:color w:val="000000"/>
                <w:spacing w:val="0"/>
                <w:sz w:val="21"/>
                <w:szCs w:val="21"/>
                <w:highlight w:val="none"/>
                <w:shd w:val="clear" w:color="auto" w:fill="FFFFFF"/>
              </w:rPr>
              <w:t>）</w:t>
            </w:r>
            <w:r>
              <w:rPr>
                <w:rFonts w:hint="eastAsia" w:ascii="宋体" w:hAnsi="宋体"/>
                <w:bCs/>
                <w:snapToGrid w:val="0"/>
                <w:color w:val="auto"/>
                <w:kern w:val="0"/>
                <w:sz w:val="21"/>
                <w:szCs w:val="21"/>
                <w:highlight w:val="none"/>
              </w:rPr>
              <w:t>，缺陷责任期：</w:t>
            </w:r>
            <w:r>
              <w:rPr>
                <w:rFonts w:hint="eastAsia" w:ascii="宋体" w:hAnsi="宋体" w:cs="宋体"/>
                <w:color w:val="auto"/>
                <w:kern w:val="0"/>
                <w:sz w:val="21"/>
                <w:szCs w:val="21"/>
                <w:highlight w:val="none"/>
                <w:u w:val="single"/>
                <w:lang w:val="en-US" w:eastAsia="zh-CN"/>
              </w:rPr>
              <w:t>730</w:t>
            </w:r>
            <w:r>
              <w:rPr>
                <w:rFonts w:hint="eastAsia" w:ascii="宋体" w:hAnsi="宋体" w:cs="宋体"/>
                <w:color w:val="auto"/>
                <w:kern w:val="0"/>
                <w:sz w:val="21"/>
                <w:szCs w:val="21"/>
                <w:highlight w:val="none"/>
                <w:lang w:val="zh-CN"/>
              </w:rPr>
              <w:t>日历</w:t>
            </w:r>
            <w:r>
              <w:rPr>
                <w:rFonts w:ascii="宋体" w:hAnsi="宋体" w:cs="宋体"/>
                <w:color w:val="auto"/>
                <w:kern w:val="0"/>
                <w:sz w:val="21"/>
                <w:szCs w:val="21"/>
                <w:highlight w:val="none"/>
                <w:lang w:val="zh-CN"/>
              </w:rPr>
              <w:t>天</w:t>
            </w:r>
            <w:r>
              <w:rPr>
                <w:rFonts w:hint="eastAsia" w:ascii="宋体" w:hAnsi="宋体"/>
                <w:bCs/>
                <w:snapToGrid w:val="0"/>
                <w:color w:val="auto"/>
                <w:kern w:val="0"/>
                <w:sz w:val="21"/>
                <w:szCs w:val="21"/>
                <w:highlight w:val="none"/>
              </w:rPr>
              <w:t>）</w:t>
            </w:r>
            <w:r>
              <w:rPr>
                <w:rFonts w:hint="eastAsia" w:ascii="宋体" w:hAnsi="宋体" w:eastAsia="宋体" w:cs="宋体"/>
                <w:b w:val="0"/>
                <w:bCs w:val="0"/>
                <w:sz w:val="21"/>
                <w:szCs w:val="21"/>
                <w:highlight w:val="none"/>
                <w:lang w:val="en-US" w:eastAsia="zh-CN"/>
              </w:rPr>
              <w:t>”填写在投标函（8.</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u w:val="none"/>
                <w:lang w:val="en-US" w:eastAsia="zh-CN"/>
              </w:rPr>
              <w:t>（其他补充说明））中。</w:t>
            </w:r>
          </w:p>
          <w:p w14:paraId="28D1D551">
            <w:pP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3、投标文件正文（第一信封）中的投标函应按招标文件给定格式、内容填写。</w:t>
            </w:r>
          </w:p>
          <w:p w14:paraId="41544F37">
            <w:pP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二、第二信封投标函</w:t>
            </w:r>
          </w:p>
          <w:p w14:paraId="0D3046B1">
            <w:pPr>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lang w:val="en-US" w:eastAsia="zh-CN"/>
              </w:rPr>
              <w:t>1、将下列内容：“</w:t>
            </w:r>
            <w:r>
              <w:rPr>
                <w:rFonts w:hint="eastAsia" w:ascii="宋体" w:hAnsi="宋体"/>
                <w:sz w:val="21"/>
                <w:szCs w:val="21"/>
              </w:rPr>
              <w:t>如我方中标，我方同意将本投标函第1条中的投标报价按招标文件“投标人须知前附表”第3.2.</w:t>
            </w:r>
            <w:r>
              <w:rPr>
                <w:rFonts w:hint="eastAsia" w:ascii="宋体" w:hAnsi="宋体"/>
                <w:sz w:val="21"/>
                <w:szCs w:val="21"/>
                <w:lang w:val="en-US" w:eastAsia="zh-CN"/>
              </w:rPr>
              <w:t>5</w:t>
            </w:r>
            <w:r>
              <w:rPr>
                <w:rFonts w:hint="eastAsia" w:ascii="宋体" w:hAnsi="宋体"/>
                <w:sz w:val="21"/>
                <w:szCs w:val="21"/>
              </w:rPr>
              <w:t>项规定的原则转换为投标报价系数，且按此系数签订合同”。</w:t>
            </w:r>
            <w:r>
              <w:rPr>
                <w:rFonts w:hint="eastAsia" w:ascii="宋体" w:hAnsi="宋体" w:eastAsia="宋体" w:cs="宋体"/>
                <w:b w:val="0"/>
                <w:bCs w:val="0"/>
                <w:sz w:val="21"/>
                <w:szCs w:val="21"/>
                <w:highlight w:val="none"/>
                <w:lang w:val="en-US" w:eastAsia="zh-CN"/>
              </w:rPr>
              <w:t>填写在投标函（3.</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u w:val="none"/>
                <w:lang w:val="en-US" w:eastAsia="zh-CN"/>
              </w:rPr>
              <w:t>（其他补充说明））中。</w:t>
            </w:r>
          </w:p>
          <w:p w14:paraId="64EB7CE5">
            <w:pPr>
              <w:rPr>
                <w:rFonts w:hint="eastAsia" w:ascii="宋体" w:hAnsi="宋体" w:eastAsia="宋体" w:cs="Times New Roman"/>
                <w:color w:val="auto"/>
                <w:sz w:val="21"/>
                <w:szCs w:val="21"/>
                <w:highlight w:val="none"/>
                <w:lang w:val="en-US" w:eastAsia="zh-CN"/>
              </w:rPr>
            </w:pPr>
            <w:r>
              <w:rPr>
                <w:rFonts w:hint="eastAsia" w:ascii="宋体" w:hAnsi="宋体" w:eastAsia="宋体" w:cs="宋体"/>
                <w:b w:val="0"/>
                <w:bCs w:val="0"/>
                <w:sz w:val="21"/>
                <w:szCs w:val="21"/>
                <w:highlight w:val="none"/>
                <w:lang w:val="en-US" w:eastAsia="zh-CN"/>
              </w:rPr>
              <w:t>2、投标文件正文（第二信封）中的投标函应按招标文件给定格式、内容填写。</w:t>
            </w:r>
          </w:p>
        </w:tc>
      </w:tr>
      <w:tr w14:paraId="46D6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76" w:type="dxa"/>
            <w:noWrap w:val="0"/>
            <w:vAlign w:val="center"/>
          </w:tcPr>
          <w:p w14:paraId="3FEE5249">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10.7</w:t>
            </w:r>
          </w:p>
        </w:tc>
        <w:tc>
          <w:tcPr>
            <w:tcW w:w="1820" w:type="dxa"/>
            <w:gridSpan w:val="2"/>
            <w:noWrap w:val="0"/>
            <w:vAlign w:val="center"/>
          </w:tcPr>
          <w:p w14:paraId="5FFDCF11">
            <w:pPr>
              <w:keepNext w:val="0"/>
              <w:keepLines w:val="0"/>
              <w:pageBreakBefore w:val="0"/>
              <w:widowControl w:val="0"/>
              <w:kinsoku/>
              <w:wordWrap w:val="0"/>
              <w:overflowPunct/>
              <w:topLinePunct/>
              <w:autoSpaceDE/>
              <w:autoSpaceDN/>
              <w:bidi w:val="0"/>
              <w:adjustRightInd/>
              <w:snapToGrid/>
              <w:spacing w:beforeAutospacing="0" w:afterAutospacing="0" w:line="360" w:lineRule="auto"/>
              <w:jc w:val="center"/>
              <w:textAlignment w:val="auto"/>
              <w:rPr>
                <w:rFonts w:hint="eastAsia" w:ascii="宋体" w:hAnsi="宋体" w:eastAsia="宋体" w:cs="宋体"/>
                <w:b/>
                <w:bCs w:val="0"/>
                <w:color w:val="000000"/>
                <w:kern w:val="2"/>
                <w:sz w:val="21"/>
                <w:szCs w:val="21"/>
                <w:highlight w:val="none"/>
                <w:lang w:val="en-US" w:eastAsia="zh-CN"/>
              </w:rPr>
            </w:pPr>
            <w:r>
              <w:rPr>
                <w:rFonts w:hint="eastAsia" w:ascii="宋体" w:hAnsi="宋体" w:eastAsia="宋体" w:cs="宋体"/>
                <w:b/>
                <w:bCs/>
                <w:color w:val="FF0000"/>
                <w:sz w:val="21"/>
                <w:szCs w:val="21"/>
                <w:highlight w:val="none"/>
                <w:lang w:val="en-US" w:eastAsia="zh-CN"/>
              </w:rPr>
              <w:t>技术部分采用 “暗标”评审方式</w:t>
            </w:r>
          </w:p>
        </w:tc>
        <w:tc>
          <w:tcPr>
            <w:tcW w:w="7075" w:type="dxa"/>
            <w:noWrap w:val="0"/>
            <w:vAlign w:val="center"/>
          </w:tcPr>
          <w:p w14:paraId="254AFD00">
            <w:pPr>
              <w:keepNext w:val="0"/>
              <w:keepLines w:val="0"/>
              <w:pageBreakBefore w:val="0"/>
              <w:widowControl w:val="0"/>
              <w:numPr>
                <w:ilvl w:val="0"/>
                <w:numId w:val="0"/>
              </w:numPr>
              <w:kinsoku/>
              <w:wordWrap w:val="0"/>
              <w:overflowPunct/>
              <w:topLinePunct/>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投标人应严格按照</w:t>
            </w:r>
            <w:r>
              <w:rPr>
                <w:rFonts w:hint="eastAsia" w:ascii="宋体" w:hAnsi="宋体" w:eastAsia="宋体" w:cs="宋体"/>
                <w:b/>
                <w:bCs/>
                <w:color w:val="auto"/>
                <w:sz w:val="21"/>
                <w:szCs w:val="21"/>
                <w:highlight w:val="none"/>
                <w:lang w:val="en-US" w:eastAsia="zh-CN"/>
              </w:rPr>
              <w:t>招标文件暗标标准</w:t>
            </w:r>
            <w:r>
              <w:rPr>
                <w:rFonts w:hint="eastAsia" w:ascii="宋体" w:hAnsi="宋体" w:eastAsia="宋体" w:cs="宋体"/>
                <w:color w:val="auto"/>
                <w:sz w:val="21"/>
                <w:szCs w:val="21"/>
                <w:highlight w:val="none"/>
                <w:lang w:val="en-US" w:eastAsia="zh-CN"/>
              </w:rPr>
              <w:t>编制，否则出现一切后果由投标人自行负责。</w:t>
            </w:r>
          </w:p>
          <w:p w14:paraId="39E343DD">
            <w:pPr>
              <w:keepNext w:val="0"/>
              <w:keepLines w:val="0"/>
              <w:pageBreakBefore w:val="0"/>
              <w:widowControl w:val="0"/>
              <w:kinsoku/>
              <w:wordWrap w:val="0"/>
              <w:overflowPunct/>
              <w:topLinePunct w:val="0"/>
              <w:autoSpaceDE/>
              <w:autoSpaceDN/>
              <w:bidi w:val="0"/>
              <w:adjustRightInd w:val="0"/>
              <w:snapToGrid/>
              <w:spacing w:line="360" w:lineRule="auto"/>
              <w:ind w:left="0" w:leftChars="0" w:firstLine="420" w:firstLineChars="200"/>
              <w:jc w:val="left"/>
              <w:textAlignment w:val="auto"/>
              <w:rPr>
                <w:rFonts w:hint="eastAsia" w:ascii="宋体" w:hAnsi="宋体" w:eastAsia="宋体" w:cs="宋体"/>
                <w:b/>
                <w:bCs w:val="0"/>
                <w:color w:val="000000"/>
                <w:kern w:val="2"/>
                <w:sz w:val="21"/>
                <w:szCs w:val="21"/>
                <w:highlight w:val="none"/>
                <w:lang w:val="en-US" w:eastAsia="zh-CN"/>
              </w:rPr>
            </w:pPr>
            <w:r>
              <w:rPr>
                <w:rFonts w:hint="eastAsia"/>
                <w:sz w:val="21"/>
                <w:szCs w:val="21"/>
                <w:highlight w:val="none"/>
              </w:rPr>
              <w:t>技术建议书</w:t>
            </w:r>
            <w:r>
              <w:rPr>
                <w:rFonts w:hint="eastAsia"/>
                <w:sz w:val="21"/>
                <w:szCs w:val="21"/>
                <w:highlight w:val="none"/>
                <w:lang w:eastAsia="zh-CN"/>
              </w:rPr>
              <w:t>（</w:t>
            </w:r>
            <w:r>
              <w:rPr>
                <w:rFonts w:hint="eastAsia"/>
                <w:sz w:val="21"/>
                <w:szCs w:val="21"/>
                <w:highlight w:val="none"/>
                <w:lang w:val="en-US" w:eastAsia="zh-CN"/>
              </w:rPr>
              <w:t>单独编制上传，评标时采用暗标方式评审</w:t>
            </w:r>
            <w:r>
              <w:rPr>
                <w:rFonts w:hint="eastAsia"/>
                <w:sz w:val="21"/>
                <w:szCs w:val="21"/>
                <w:highlight w:val="none"/>
                <w:lang w:eastAsia="zh-CN"/>
              </w:rPr>
              <w:t>）</w:t>
            </w:r>
            <w:r>
              <w:rPr>
                <w:rFonts w:hint="eastAsia" w:ascii="宋体" w:hAnsi="宋体" w:eastAsia="宋体" w:cs="宋体"/>
                <w:bCs/>
                <w:color w:val="auto"/>
                <w:sz w:val="21"/>
                <w:szCs w:val="21"/>
                <w:highlight w:val="none"/>
              </w:rPr>
              <w:t>招标文件中暗标部分要求有冲突的地方以系统实际生成为准，请投标人自行对应评标办法。</w:t>
            </w:r>
          </w:p>
        </w:tc>
      </w:tr>
      <w:tr w14:paraId="3227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76" w:type="dxa"/>
            <w:noWrap w:val="0"/>
            <w:vAlign w:val="center"/>
          </w:tcPr>
          <w:p w14:paraId="541C84F5">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10.8</w:t>
            </w:r>
          </w:p>
        </w:tc>
        <w:tc>
          <w:tcPr>
            <w:tcW w:w="1820" w:type="dxa"/>
            <w:gridSpan w:val="2"/>
            <w:noWrap w:val="0"/>
            <w:vAlign w:val="center"/>
          </w:tcPr>
          <w:p w14:paraId="5BE68197">
            <w:pPr>
              <w:keepNext w:val="0"/>
              <w:keepLines w:val="0"/>
              <w:pageBreakBefore w:val="0"/>
              <w:widowControl w:val="0"/>
              <w:kinsoku/>
              <w:wordWrap w:val="0"/>
              <w:overflowPunct/>
              <w:topLinePunct/>
              <w:autoSpaceDE/>
              <w:autoSpaceDN/>
              <w:bidi w:val="0"/>
              <w:adjustRightInd/>
              <w:snapToGrid/>
              <w:spacing w:beforeAutospacing="0" w:afterAutospacing="0" w:line="360" w:lineRule="auto"/>
              <w:jc w:val="center"/>
              <w:textAlignment w:val="auto"/>
              <w:rPr>
                <w:rFonts w:hint="eastAsia" w:ascii="宋体" w:hAnsi="宋体" w:eastAsia="宋体" w:cs="宋体"/>
                <w:b/>
                <w:bCs/>
                <w:color w:val="FF0000"/>
                <w:sz w:val="21"/>
                <w:szCs w:val="21"/>
                <w:highlight w:val="none"/>
                <w:lang w:val="en-US" w:eastAsia="zh-CN"/>
              </w:rPr>
            </w:pPr>
            <w:r>
              <w:rPr>
                <w:rFonts w:hint="eastAsia"/>
                <w:color w:val="auto"/>
                <w:sz w:val="21"/>
                <w:szCs w:val="21"/>
                <w:lang w:val="en-US" w:eastAsia="zh-CN"/>
              </w:rPr>
              <w:t>付款方式</w:t>
            </w:r>
          </w:p>
        </w:tc>
        <w:tc>
          <w:tcPr>
            <w:tcW w:w="7075" w:type="dxa"/>
            <w:noWrap w:val="0"/>
            <w:vAlign w:val="center"/>
          </w:tcPr>
          <w:p w14:paraId="677AEE97">
            <w:pPr>
              <w:keepNext w:val="0"/>
              <w:keepLines w:val="0"/>
              <w:pageBreakBefore w:val="0"/>
              <w:widowControl w:val="0"/>
              <w:numPr>
                <w:ilvl w:val="0"/>
                <w:numId w:val="0"/>
              </w:numPr>
              <w:kinsoku/>
              <w:wordWrap w:val="0"/>
              <w:overflowPunct/>
              <w:topLinePunct/>
              <w:autoSpaceDE/>
              <w:autoSpaceDN/>
              <w:bidi w:val="0"/>
              <w:adjustRightInd/>
              <w:snapToGrid/>
              <w:spacing w:beforeAutospacing="0" w:afterAutospacing="0" w:line="360" w:lineRule="auto"/>
              <w:ind w:left="0" w:leftChars="0" w:firstLine="0" w:firstLineChars="0"/>
              <w:textAlignment w:val="auto"/>
              <w:rPr>
                <w:rFonts w:hint="eastAsia"/>
                <w:sz w:val="21"/>
                <w:szCs w:val="21"/>
                <w:highlight w:val="none"/>
              </w:rPr>
            </w:pPr>
            <w:r>
              <w:rPr>
                <w:rFonts w:hint="eastAsia"/>
                <w:color w:val="auto"/>
                <w:sz w:val="21"/>
                <w:szCs w:val="21"/>
                <w:lang w:val="en-US" w:eastAsia="zh-CN"/>
              </w:rPr>
              <w:t>按合同约定。</w:t>
            </w:r>
          </w:p>
        </w:tc>
      </w:tr>
      <w:bookmarkEnd w:id="14"/>
    </w:tbl>
    <w:p w14:paraId="1B1C1085">
      <w:pPr>
        <w:adjustRightInd w:val="0"/>
        <w:snapToGrid w:val="0"/>
        <w:spacing w:before="120" w:after="120"/>
        <w:jc w:val="center"/>
        <w:rPr>
          <w:rFonts w:hint="eastAsia" w:ascii="黑体" w:eastAsia="黑体"/>
          <w:b/>
          <w:bCs/>
          <w:color w:val="auto"/>
          <w:kern w:val="44"/>
          <w:sz w:val="30"/>
          <w:szCs w:val="30"/>
          <w:highlight w:val="none"/>
        </w:rPr>
      </w:pPr>
      <w:r>
        <w:rPr>
          <w:rFonts w:hint="eastAsia" w:ascii="宋体" w:hAnsi="宋体" w:eastAsia="宋体" w:cs="宋体"/>
          <w:highlight w:val="none"/>
        </w:rPr>
        <w:br w:type="page"/>
      </w:r>
      <w:bookmarkStart w:id="15" w:name="_Toc27211"/>
      <w:bookmarkStart w:id="16" w:name="_Toc19997"/>
      <w:bookmarkStart w:id="17" w:name="_Toc15947"/>
      <w:r>
        <w:rPr>
          <w:rFonts w:hint="eastAsia" w:ascii="黑体" w:eastAsia="黑体"/>
          <w:b/>
          <w:bCs/>
          <w:color w:val="auto"/>
          <w:kern w:val="44"/>
          <w:sz w:val="30"/>
          <w:szCs w:val="30"/>
          <w:highlight w:val="none"/>
        </w:rPr>
        <w:t>附录1   资格审查条件(资质最低条件)</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14:paraId="7BB748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9057" w:type="dxa"/>
            <w:noWrap w:val="0"/>
            <w:vAlign w:val="center"/>
          </w:tcPr>
          <w:p w14:paraId="73587F01">
            <w:pPr>
              <w:jc w:val="center"/>
              <w:rPr>
                <w:rFonts w:hint="eastAsia" w:ascii="宋体" w:hAnsi="宋体"/>
                <w:color w:val="auto"/>
                <w:szCs w:val="21"/>
                <w:highlight w:val="none"/>
              </w:rPr>
            </w:pPr>
            <w:r>
              <w:rPr>
                <w:rFonts w:hint="eastAsia" w:ascii="宋体" w:hAnsi="宋体"/>
                <w:color w:val="auto"/>
                <w:szCs w:val="21"/>
                <w:highlight w:val="none"/>
              </w:rPr>
              <w:t>监理企业资质等级要求</w:t>
            </w:r>
          </w:p>
        </w:tc>
      </w:tr>
      <w:tr w14:paraId="79C54F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9057" w:type="dxa"/>
            <w:noWrap w:val="0"/>
            <w:vAlign w:val="center"/>
          </w:tcPr>
          <w:p w14:paraId="6381F2AF">
            <w:pPr>
              <w:jc w:val="both"/>
              <w:rPr>
                <w:rFonts w:hint="eastAsia" w:ascii="宋体" w:hAnsi="宋体"/>
                <w:bCs/>
                <w:color w:val="auto"/>
                <w:szCs w:val="21"/>
                <w:highlight w:val="none"/>
              </w:rPr>
            </w:pPr>
            <w:r>
              <w:rPr>
                <w:rFonts w:hint="eastAsia" w:ascii="宋体" w:hAnsi="宋体" w:eastAsia="宋体" w:cs="Times New Roman"/>
                <w:color w:val="auto"/>
                <w:szCs w:val="21"/>
                <w:highlight w:val="none"/>
                <w:lang w:val="en-US" w:eastAsia="zh-CN"/>
              </w:rPr>
              <w:t>具有交通运输主管部门核发的公路工程乙级及以上监理资质证书；</w:t>
            </w:r>
          </w:p>
        </w:tc>
      </w:tr>
    </w:tbl>
    <w:p w14:paraId="58E48A42">
      <w:pPr>
        <w:spacing w:before="120" w:after="120"/>
        <w:jc w:val="center"/>
        <w:rPr>
          <w:rFonts w:hint="eastAsia" w:ascii="黑体" w:eastAsia="黑体"/>
          <w:b/>
          <w:bCs/>
          <w:color w:val="auto"/>
          <w:kern w:val="44"/>
          <w:sz w:val="30"/>
          <w:szCs w:val="30"/>
          <w:highlight w:val="none"/>
        </w:rPr>
      </w:pPr>
    </w:p>
    <w:p w14:paraId="5BE96721">
      <w:pPr>
        <w:pStyle w:val="5"/>
        <w:rPr>
          <w:rFonts w:hint="eastAsia"/>
        </w:rPr>
      </w:pPr>
    </w:p>
    <w:p w14:paraId="23782666">
      <w:pPr>
        <w:spacing w:before="120" w:after="120"/>
        <w:jc w:val="center"/>
        <w:rPr>
          <w:rFonts w:hint="eastAsia" w:ascii="隶书" w:hAnsi="宋体" w:eastAsia="隶书"/>
          <w:color w:val="auto"/>
          <w:sz w:val="24"/>
          <w:highlight w:val="none"/>
          <w:vertAlign w:val="superscript"/>
        </w:rPr>
      </w:pPr>
      <w:r>
        <w:rPr>
          <w:rFonts w:hint="eastAsia" w:ascii="黑体" w:eastAsia="黑体"/>
          <w:b/>
          <w:bCs/>
          <w:color w:val="auto"/>
          <w:kern w:val="44"/>
          <w:sz w:val="30"/>
          <w:szCs w:val="30"/>
          <w:highlight w:val="none"/>
        </w:rPr>
        <w:t>附录2   资格审查条件(业绩最低要求)</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14:paraId="0B5744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9057" w:type="dxa"/>
            <w:noWrap w:val="0"/>
            <w:vAlign w:val="center"/>
          </w:tcPr>
          <w:p w14:paraId="131CCE2C">
            <w:pPr>
              <w:jc w:val="center"/>
              <w:rPr>
                <w:rFonts w:hint="eastAsia" w:ascii="宋体" w:hAnsi="宋体"/>
                <w:color w:val="auto"/>
                <w:szCs w:val="21"/>
                <w:highlight w:val="none"/>
              </w:rPr>
            </w:pPr>
            <w:r>
              <w:rPr>
                <w:rFonts w:hint="eastAsia" w:ascii="宋体" w:hAnsi="宋体"/>
                <w:color w:val="auto"/>
                <w:szCs w:val="21"/>
                <w:highlight w:val="none"/>
              </w:rPr>
              <w:t>业 绩 要 求</w:t>
            </w:r>
          </w:p>
        </w:tc>
      </w:tr>
      <w:tr w14:paraId="4A58E1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057" w:type="dxa"/>
            <w:noWrap w:val="0"/>
            <w:vAlign w:val="center"/>
          </w:tcPr>
          <w:p w14:paraId="169DF001">
            <w:pP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仿宋"/>
                <w:bCs/>
                <w:color w:val="auto"/>
                <w:szCs w:val="21"/>
                <w:highlight w:val="none"/>
                <w:lang w:val="en-US" w:eastAsia="zh-CN"/>
              </w:rPr>
              <w:t>2020年1月1日后，至少完成一项四级或四级以上公路的施工监理业绩。</w:t>
            </w:r>
          </w:p>
        </w:tc>
      </w:tr>
    </w:tbl>
    <w:p w14:paraId="2366EE98">
      <w:pPr>
        <w:spacing w:before="120" w:after="120"/>
        <w:jc w:val="center"/>
        <w:rPr>
          <w:rFonts w:hint="eastAsia" w:ascii="黑体" w:eastAsia="黑体"/>
          <w:b/>
          <w:bCs/>
          <w:color w:val="auto"/>
          <w:kern w:val="44"/>
          <w:sz w:val="30"/>
          <w:szCs w:val="30"/>
          <w:highlight w:val="none"/>
        </w:rPr>
      </w:pPr>
    </w:p>
    <w:p w14:paraId="36496714">
      <w:pPr>
        <w:spacing w:before="120" w:after="120"/>
        <w:jc w:val="center"/>
        <w:rPr>
          <w:rFonts w:hint="eastAsia" w:ascii="黑体" w:eastAsia="黑体"/>
          <w:b/>
          <w:bCs/>
          <w:color w:val="auto"/>
          <w:kern w:val="44"/>
          <w:sz w:val="30"/>
          <w:szCs w:val="30"/>
          <w:highlight w:val="none"/>
        </w:rPr>
      </w:pPr>
      <w:r>
        <w:rPr>
          <w:rFonts w:hint="eastAsia" w:ascii="黑体" w:eastAsia="黑体"/>
          <w:b/>
          <w:bCs/>
          <w:color w:val="auto"/>
          <w:kern w:val="44"/>
          <w:sz w:val="30"/>
          <w:szCs w:val="30"/>
          <w:highlight w:val="none"/>
        </w:rPr>
        <w:t>附录3   资格审查条件(信誉最低要求)</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14:paraId="550B74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9057" w:type="dxa"/>
            <w:noWrap w:val="0"/>
            <w:vAlign w:val="center"/>
          </w:tcPr>
          <w:p w14:paraId="765BBD7B">
            <w:pPr>
              <w:jc w:val="center"/>
              <w:rPr>
                <w:rFonts w:hint="eastAsia" w:ascii="宋体" w:hAnsi="宋体"/>
                <w:color w:val="auto"/>
                <w:szCs w:val="21"/>
                <w:highlight w:val="none"/>
              </w:rPr>
            </w:pPr>
            <w:r>
              <w:rPr>
                <w:rFonts w:hint="eastAsia" w:ascii="宋体" w:hAnsi="宋体"/>
                <w:color w:val="auto"/>
                <w:szCs w:val="21"/>
                <w:highlight w:val="none"/>
              </w:rPr>
              <w:t>信 誉 要 求</w:t>
            </w:r>
          </w:p>
        </w:tc>
      </w:tr>
      <w:tr w14:paraId="01330A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9057" w:type="dxa"/>
            <w:noWrap w:val="0"/>
            <w:vAlign w:val="center"/>
          </w:tcPr>
          <w:p w14:paraId="3654B28E">
            <w:pPr>
              <w:rPr>
                <w:rFonts w:hint="eastAsia"/>
                <w:highlight w:val="none"/>
              </w:rPr>
            </w:pPr>
            <w:r>
              <w:rPr>
                <w:rFonts w:hint="eastAsia" w:ascii="宋体" w:hAnsi="宋体" w:cs="仿宋"/>
                <w:bCs/>
                <w:color w:val="auto"/>
                <w:szCs w:val="21"/>
                <w:highlight w:val="none"/>
              </w:rPr>
              <w:t>投标人不得存在“投</w:t>
            </w:r>
            <w:r>
              <w:rPr>
                <w:rFonts w:ascii="宋体" w:hAnsi="宋体" w:cs="仿宋"/>
                <w:bCs/>
                <w:color w:val="auto"/>
                <w:szCs w:val="21"/>
                <w:highlight w:val="none"/>
              </w:rPr>
              <w:t>标人</w:t>
            </w:r>
            <w:r>
              <w:rPr>
                <w:rFonts w:hint="eastAsia" w:ascii="宋体" w:hAnsi="宋体" w:cs="仿宋"/>
                <w:bCs/>
                <w:color w:val="auto"/>
                <w:szCs w:val="21"/>
                <w:highlight w:val="none"/>
              </w:rPr>
              <w:t>须</w:t>
            </w:r>
            <w:r>
              <w:rPr>
                <w:rFonts w:ascii="宋体" w:hAnsi="宋体" w:cs="仿宋"/>
                <w:bCs/>
                <w:color w:val="auto"/>
                <w:szCs w:val="21"/>
                <w:highlight w:val="none"/>
              </w:rPr>
              <w:t>知”第</w:t>
            </w:r>
            <w:r>
              <w:rPr>
                <w:rFonts w:hint="eastAsia" w:ascii="宋体" w:hAnsi="宋体" w:cs="仿宋"/>
                <w:bCs/>
                <w:color w:val="auto"/>
                <w:szCs w:val="21"/>
                <w:highlight w:val="none"/>
              </w:rPr>
              <w:t>1.4.4项的规定</w:t>
            </w:r>
            <w:r>
              <w:rPr>
                <w:rFonts w:hint="eastAsia" w:hAnsi="宋体" w:cs="仿宋"/>
                <w:bCs/>
                <w:color w:val="auto"/>
                <w:highlight w:val="none"/>
              </w:rPr>
              <w:t>。</w:t>
            </w:r>
          </w:p>
        </w:tc>
      </w:tr>
    </w:tbl>
    <w:p w14:paraId="72A27088">
      <w:pPr>
        <w:spacing w:before="120" w:after="120"/>
        <w:jc w:val="center"/>
        <w:rPr>
          <w:rFonts w:hint="eastAsia" w:ascii="黑体" w:eastAsia="黑体"/>
          <w:b/>
          <w:bCs/>
          <w:color w:val="auto"/>
          <w:kern w:val="44"/>
          <w:sz w:val="30"/>
          <w:szCs w:val="30"/>
          <w:highlight w:val="none"/>
        </w:rPr>
      </w:pPr>
    </w:p>
    <w:p w14:paraId="7EB4C851">
      <w:pPr>
        <w:spacing w:before="120" w:after="120"/>
        <w:jc w:val="center"/>
        <w:rPr>
          <w:rFonts w:hint="eastAsia" w:ascii="隶书" w:hAnsi="宋体" w:eastAsia="隶书"/>
          <w:color w:val="auto"/>
          <w:sz w:val="24"/>
          <w:highlight w:val="none"/>
          <w:vertAlign w:val="superscript"/>
        </w:rPr>
      </w:pPr>
      <w:r>
        <w:rPr>
          <w:rFonts w:hint="eastAsia" w:ascii="黑体" w:eastAsia="黑体"/>
          <w:b/>
          <w:bCs/>
          <w:color w:val="auto"/>
          <w:kern w:val="44"/>
          <w:sz w:val="30"/>
          <w:szCs w:val="30"/>
          <w:highlight w:val="none"/>
        </w:rPr>
        <w:t>附录4   资格审查条件(总监理工程师最低要求)</w:t>
      </w:r>
    </w:p>
    <w:tbl>
      <w:tblPr>
        <w:tblStyle w:val="13"/>
        <w:tblW w:w="92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35"/>
        <w:gridCol w:w="1162"/>
        <w:gridCol w:w="992"/>
        <w:gridCol w:w="3799"/>
        <w:gridCol w:w="1956"/>
      </w:tblGrid>
      <w:tr w14:paraId="3F9894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6" w:hRule="exact"/>
          <w:jc w:val="center"/>
        </w:trPr>
        <w:tc>
          <w:tcPr>
            <w:tcW w:w="1335" w:type="dxa"/>
            <w:noWrap w:val="0"/>
            <w:vAlign w:val="center"/>
          </w:tcPr>
          <w:p w14:paraId="14E9C82F">
            <w:pPr>
              <w:jc w:val="center"/>
              <w:rPr>
                <w:rFonts w:hint="eastAsia" w:ascii="宋体" w:hAnsi="宋体"/>
                <w:color w:val="auto"/>
                <w:szCs w:val="21"/>
                <w:highlight w:val="none"/>
              </w:rPr>
            </w:pPr>
            <w:r>
              <w:rPr>
                <w:rFonts w:hint="eastAsia" w:ascii="宋体" w:hAnsi="宋体"/>
                <w:color w:val="auto"/>
                <w:szCs w:val="21"/>
                <w:highlight w:val="none"/>
              </w:rPr>
              <w:t>标段</w:t>
            </w:r>
          </w:p>
        </w:tc>
        <w:tc>
          <w:tcPr>
            <w:tcW w:w="1162" w:type="dxa"/>
            <w:noWrap w:val="0"/>
            <w:vAlign w:val="center"/>
          </w:tcPr>
          <w:p w14:paraId="1B8481F9">
            <w:pPr>
              <w:jc w:val="center"/>
              <w:rPr>
                <w:rFonts w:hint="eastAsia" w:ascii="宋体" w:hAnsi="宋体"/>
                <w:color w:val="auto"/>
                <w:szCs w:val="21"/>
                <w:highlight w:val="none"/>
              </w:rPr>
            </w:pPr>
            <w:r>
              <w:rPr>
                <w:rFonts w:hint="eastAsia" w:ascii="宋体" w:hAnsi="宋体"/>
                <w:color w:val="auto"/>
                <w:szCs w:val="21"/>
                <w:highlight w:val="none"/>
              </w:rPr>
              <w:t>人  员</w:t>
            </w:r>
          </w:p>
        </w:tc>
        <w:tc>
          <w:tcPr>
            <w:tcW w:w="992" w:type="dxa"/>
            <w:noWrap w:val="0"/>
            <w:vAlign w:val="center"/>
          </w:tcPr>
          <w:p w14:paraId="1021CA16">
            <w:pPr>
              <w:jc w:val="center"/>
              <w:rPr>
                <w:rFonts w:hint="eastAsia" w:ascii="宋体" w:hAnsi="宋体"/>
                <w:color w:val="auto"/>
                <w:szCs w:val="21"/>
                <w:highlight w:val="none"/>
              </w:rPr>
            </w:pPr>
            <w:r>
              <w:rPr>
                <w:rFonts w:hint="eastAsia" w:ascii="宋体" w:hAnsi="宋体"/>
                <w:color w:val="auto"/>
                <w:szCs w:val="21"/>
                <w:highlight w:val="none"/>
              </w:rPr>
              <w:t>数量</w:t>
            </w:r>
          </w:p>
        </w:tc>
        <w:tc>
          <w:tcPr>
            <w:tcW w:w="3799" w:type="dxa"/>
            <w:noWrap w:val="0"/>
            <w:vAlign w:val="center"/>
          </w:tcPr>
          <w:p w14:paraId="6763A227">
            <w:pPr>
              <w:jc w:val="center"/>
              <w:rPr>
                <w:rFonts w:hint="eastAsia" w:ascii="宋体" w:hAnsi="宋体"/>
                <w:color w:val="auto"/>
                <w:szCs w:val="21"/>
                <w:highlight w:val="none"/>
              </w:rPr>
            </w:pPr>
            <w:r>
              <w:rPr>
                <w:rFonts w:hint="eastAsia" w:ascii="宋体" w:hAnsi="宋体"/>
                <w:color w:val="auto"/>
                <w:szCs w:val="21"/>
                <w:highlight w:val="none"/>
              </w:rPr>
              <w:t>资 格 要 求</w:t>
            </w:r>
          </w:p>
        </w:tc>
        <w:tc>
          <w:tcPr>
            <w:tcW w:w="1956" w:type="dxa"/>
            <w:noWrap w:val="0"/>
            <w:vAlign w:val="center"/>
          </w:tcPr>
          <w:p w14:paraId="4FE0944C">
            <w:pPr>
              <w:jc w:val="center"/>
              <w:rPr>
                <w:rFonts w:hint="eastAsia" w:ascii="宋体" w:hAnsi="宋体"/>
                <w:color w:val="auto"/>
                <w:szCs w:val="21"/>
                <w:highlight w:val="none"/>
              </w:rPr>
            </w:pPr>
            <w:r>
              <w:rPr>
                <w:rFonts w:hint="eastAsia" w:ascii="宋体" w:hAnsi="宋体"/>
                <w:color w:val="auto"/>
                <w:szCs w:val="21"/>
                <w:highlight w:val="none"/>
              </w:rPr>
              <w:t>在岗要求</w:t>
            </w:r>
          </w:p>
        </w:tc>
      </w:tr>
      <w:tr w14:paraId="745E97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66" w:hRule="atLeast"/>
          <w:jc w:val="center"/>
        </w:trPr>
        <w:tc>
          <w:tcPr>
            <w:tcW w:w="1335" w:type="dxa"/>
            <w:noWrap w:val="0"/>
            <w:vAlign w:val="center"/>
          </w:tcPr>
          <w:p w14:paraId="06631A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SFJL01</w:t>
            </w:r>
          </w:p>
        </w:tc>
        <w:tc>
          <w:tcPr>
            <w:tcW w:w="1162" w:type="dxa"/>
            <w:noWrap w:val="0"/>
            <w:vAlign w:val="center"/>
          </w:tcPr>
          <w:p w14:paraId="5C8FDE10">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总监理工程师</w:t>
            </w:r>
          </w:p>
        </w:tc>
        <w:tc>
          <w:tcPr>
            <w:tcW w:w="992" w:type="dxa"/>
            <w:noWrap w:val="0"/>
            <w:vAlign w:val="center"/>
          </w:tcPr>
          <w:p w14:paraId="00D98440">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3799" w:type="dxa"/>
            <w:noWrap w:val="0"/>
            <w:vAlign w:val="center"/>
          </w:tcPr>
          <w:p w14:paraId="259C03B9">
            <w:pPr>
              <w:keepNext w:val="0"/>
              <w:keepLines w:val="0"/>
              <w:pageBreakBefore w:val="0"/>
              <w:numPr>
                <w:ilvl w:val="0"/>
                <w:numId w:val="0"/>
              </w:numPr>
              <w:kinsoku/>
              <w:wordWrap/>
              <w:overflowPunct/>
              <w:topLinePunct w:val="0"/>
              <w:autoSpaceDE/>
              <w:autoSpaceDN/>
              <w:bidi w:val="0"/>
              <w:adjustRightInd/>
              <w:snapToGrid/>
              <w:spacing w:line="300" w:lineRule="exact"/>
              <w:ind w:left="78" w:leftChars="0"/>
              <w:jc w:val="left"/>
              <w:textAlignment w:val="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lang w:val="en-US" w:eastAsia="zh-CN"/>
              </w:rPr>
              <w:t>1</w:t>
            </w:r>
            <w:r>
              <w:rPr>
                <w:rFonts w:hint="eastAsia" w:ascii="宋体" w:hAnsi="宋体" w:eastAsia="宋体" w:cs="Times New Roman"/>
                <w:b w:val="0"/>
                <w:bCs w:val="0"/>
                <w:color w:val="auto"/>
                <w:szCs w:val="21"/>
                <w:highlight w:val="none"/>
                <w:lang w:eastAsia="zh-CN"/>
              </w:rPr>
              <w:t>）投标人自有人员</w:t>
            </w:r>
            <w:r>
              <w:rPr>
                <w:rFonts w:hint="eastAsia" w:ascii="宋体" w:hAnsi="宋体" w:eastAsia="宋体" w:cs="Times New Roman"/>
                <w:b w:val="0"/>
                <w:bCs w:val="0"/>
                <w:color w:val="auto"/>
                <w:sz w:val="21"/>
                <w:szCs w:val="21"/>
                <w:highlight w:val="none"/>
                <w:vertAlign w:val="superscript"/>
                <w:lang w:eastAsia="zh-CN"/>
              </w:rPr>
              <w:footnoteReference w:id="2"/>
            </w:r>
            <w:r>
              <w:rPr>
                <w:rFonts w:hint="eastAsia" w:ascii="宋体" w:hAnsi="宋体" w:eastAsia="宋体" w:cs="Times New Roman"/>
                <w:b w:val="0"/>
                <w:bCs w:val="0"/>
                <w:color w:val="auto"/>
                <w:szCs w:val="21"/>
                <w:highlight w:val="none"/>
                <w:lang w:eastAsia="zh-CN"/>
              </w:rPr>
              <w:t>；</w:t>
            </w:r>
          </w:p>
          <w:p w14:paraId="73A104F7">
            <w:pPr>
              <w:keepNext w:val="0"/>
              <w:keepLines w:val="0"/>
              <w:pageBreakBefore w:val="0"/>
              <w:numPr>
                <w:ilvl w:val="0"/>
                <w:numId w:val="0"/>
              </w:numPr>
              <w:kinsoku/>
              <w:wordWrap/>
              <w:overflowPunct/>
              <w:topLinePunct w:val="0"/>
              <w:autoSpaceDE/>
              <w:autoSpaceDN/>
              <w:bidi w:val="0"/>
              <w:adjustRightInd/>
              <w:snapToGrid/>
              <w:spacing w:line="300" w:lineRule="exact"/>
              <w:ind w:left="78" w:leftChars="0"/>
              <w:jc w:val="left"/>
              <w:textAlignment w:val="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lang w:eastAsia="zh-CN"/>
              </w:rPr>
              <w:t>）具有公路工程相关专业</w:t>
            </w:r>
            <w:r>
              <w:rPr>
                <w:rFonts w:hint="eastAsia" w:ascii="宋体" w:hAnsi="宋体" w:eastAsia="宋体" w:cs="Times New Roman"/>
                <w:b w:val="0"/>
                <w:bCs w:val="0"/>
                <w:color w:val="auto"/>
                <w:sz w:val="21"/>
                <w:szCs w:val="21"/>
                <w:highlight w:val="none"/>
                <w:vertAlign w:val="superscript"/>
                <w:lang w:eastAsia="zh-CN"/>
              </w:rPr>
              <w:footnoteReference w:id="3"/>
            </w:r>
            <w:r>
              <w:rPr>
                <w:rFonts w:hint="eastAsia" w:ascii="宋体" w:hAnsi="宋体" w:eastAsia="宋体" w:cs="Times New Roman"/>
                <w:b w:val="0"/>
                <w:bCs w:val="0"/>
                <w:color w:val="auto"/>
                <w:szCs w:val="21"/>
                <w:highlight w:val="none"/>
                <w:lang w:eastAsia="zh-CN"/>
              </w:rPr>
              <w:t>高级工程师职称；</w:t>
            </w:r>
          </w:p>
          <w:p w14:paraId="5C632854">
            <w:pPr>
              <w:keepNext w:val="0"/>
              <w:keepLines w:val="0"/>
              <w:widowControl/>
              <w:suppressLineNumbers w:val="0"/>
              <w:jc w:val="left"/>
              <w:rPr>
                <w:rFonts w:hint="default" w:ascii="宋体" w:hAnsi="宋体"/>
                <w:color w:val="auto"/>
                <w:szCs w:val="21"/>
                <w:highlight w:val="none"/>
                <w:lang w:val="en-US"/>
              </w:rPr>
            </w:pPr>
            <w:r>
              <w:rPr>
                <w:rFonts w:hint="eastAsia" w:ascii="宋体" w:hAnsi="宋体" w:eastAsia="宋体" w:cs="Times New Roman"/>
                <w:b w:val="0"/>
                <w:bCs w:val="0"/>
                <w:color w:val="auto"/>
                <w:szCs w:val="21"/>
                <w:highlight w:val="none"/>
                <w:lang w:val="en-US" w:eastAsia="zh-CN"/>
              </w:rPr>
              <w:t>（3）应具备</w:t>
            </w:r>
            <w:r>
              <w:rPr>
                <w:rFonts w:hint="eastAsia"/>
                <w:szCs w:val="21"/>
                <w:highlight w:val="none"/>
              </w:rPr>
              <w:t>《</w:t>
            </w:r>
            <w:r>
              <w:rPr>
                <w:rFonts w:hint="eastAsia" w:ascii="宋体" w:hAnsi="宋体" w:eastAsia="宋体" w:cs="Times New Roman"/>
                <w:b w:val="0"/>
                <w:bCs w:val="0"/>
                <w:color w:val="auto"/>
                <w:szCs w:val="21"/>
                <w:highlight w:val="none"/>
                <w:lang w:val="en-US" w:eastAsia="zh-CN"/>
              </w:rPr>
              <w:t>公路工程施工监理规范》（JTG G10-2016）规定的公路工程监理工程师资格；</w:t>
            </w:r>
          </w:p>
        </w:tc>
        <w:tc>
          <w:tcPr>
            <w:tcW w:w="1956" w:type="dxa"/>
            <w:noWrap w:val="0"/>
            <w:vAlign w:val="center"/>
          </w:tcPr>
          <w:p w14:paraId="1F5C97BF">
            <w:pPr>
              <w:spacing w:line="360" w:lineRule="exact"/>
              <w:jc w:val="left"/>
              <w:rPr>
                <w:rFonts w:hint="eastAsia" w:ascii="宋体" w:hAnsi="宋体"/>
                <w:color w:val="auto"/>
                <w:szCs w:val="21"/>
                <w:highlight w:val="none"/>
              </w:rPr>
            </w:pPr>
            <w:r>
              <w:rPr>
                <w:rFonts w:hint="eastAsia" w:ascii="宋体" w:hAnsi="宋体"/>
                <w:color w:val="auto"/>
                <w:szCs w:val="21"/>
                <w:highlight w:val="none"/>
              </w:rPr>
              <w:t>无在岗项目（指目前未在其他项目上任职，或虽在其他项目上任职但本项目中标后能够从该项目撤离）</w:t>
            </w:r>
          </w:p>
        </w:tc>
      </w:tr>
    </w:tbl>
    <w:p w14:paraId="1A9D5079">
      <w:pPr>
        <w:rPr>
          <w:rFonts w:hint="eastAsia"/>
          <w:color w:val="auto"/>
          <w:highlight w:val="none"/>
        </w:rPr>
      </w:pPr>
    </w:p>
    <w:p w14:paraId="387E89F5">
      <w:pPr>
        <w:rPr>
          <w:rFonts w:hint="eastAsia" w:ascii="宋体" w:hAnsi="宋体" w:eastAsia="宋体" w:cs="宋体"/>
          <w:b w:val="0"/>
          <w:sz w:val="36"/>
          <w:szCs w:val="36"/>
          <w:highlight w:val="none"/>
        </w:rPr>
      </w:pPr>
    </w:p>
    <w:bookmarkEnd w:id="15"/>
    <w:bookmarkEnd w:id="16"/>
    <w:bookmarkEnd w:id="17"/>
    <w:p w14:paraId="5F5D9FE4">
      <w:pPr>
        <w:spacing w:line="360" w:lineRule="auto"/>
        <w:rPr>
          <w:rFonts w:ascii="黑体" w:hAnsi="黑体" w:eastAsia="黑体"/>
          <w:color w:val="auto"/>
          <w:sz w:val="28"/>
          <w:szCs w:val="28"/>
          <w:highlight w:val="none"/>
        </w:rPr>
      </w:pPr>
      <w:bookmarkStart w:id="18" w:name="_Toc234382663"/>
      <w:r>
        <w:rPr>
          <w:rFonts w:ascii="黑体" w:hAnsi="黑体" w:eastAsia="黑体"/>
          <w:color w:val="auto"/>
          <w:sz w:val="28"/>
          <w:szCs w:val="28"/>
          <w:highlight w:val="none"/>
        </w:rPr>
        <w:t>评标办法前附表</w:t>
      </w:r>
      <w:bookmarkEnd w:id="18"/>
      <w:r>
        <w:rPr>
          <w:rFonts w:ascii="黑体" w:hAnsi="黑体" w:eastAsia="黑体"/>
          <w:color w:val="auto"/>
          <w:sz w:val="28"/>
          <w:szCs w:val="28"/>
          <w:highlight w:val="none"/>
          <w:vertAlign w:val="superscript"/>
        </w:rPr>
        <w:footnoteReference w:id="4"/>
      </w:r>
    </w:p>
    <w:tbl>
      <w:tblPr>
        <w:tblStyle w:val="13"/>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730"/>
        <w:gridCol w:w="1272"/>
        <w:gridCol w:w="7009"/>
      </w:tblGrid>
      <w:tr w14:paraId="28767B3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85" w:hRule="exact"/>
          <w:tblHeader/>
          <w:jc w:val="center"/>
        </w:trPr>
        <w:tc>
          <w:tcPr>
            <w:tcW w:w="2002" w:type="dxa"/>
            <w:gridSpan w:val="2"/>
            <w:noWrap w:val="0"/>
            <w:vAlign w:val="center"/>
          </w:tcPr>
          <w:p w14:paraId="54A0418C">
            <w:pPr>
              <w:jc w:val="center"/>
              <w:rPr>
                <w:rFonts w:ascii="宋体" w:hAnsi="宋体"/>
                <w:b/>
                <w:color w:val="auto"/>
                <w:szCs w:val="21"/>
                <w:highlight w:val="none"/>
              </w:rPr>
            </w:pPr>
            <w:r>
              <w:rPr>
                <w:rFonts w:ascii="宋体" w:hAnsi="宋体"/>
                <w:b/>
                <w:color w:val="auto"/>
                <w:szCs w:val="21"/>
                <w:highlight w:val="none"/>
              </w:rPr>
              <w:t>条款号</w:t>
            </w:r>
          </w:p>
        </w:tc>
        <w:tc>
          <w:tcPr>
            <w:tcW w:w="7009" w:type="dxa"/>
            <w:noWrap w:val="0"/>
            <w:vAlign w:val="center"/>
          </w:tcPr>
          <w:p w14:paraId="03AD03E2">
            <w:pPr>
              <w:jc w:val="center"/>
              <w:rPr>
                <w:rFonts w:ascii="宋体" w:hAnsi="宋体"/>
                <w:b/>
                <w:color w:val="auto"/>
                <w:szCs w:val="21"/>
                <w:highlight w:val="none"/>
              </w:rPr>
            </w:pPr>
            <w:r>
              <w:rPr>
                <w:rFonts w:ascii="宋体" w:hAnsi="宋体"/>
                <w:b/>
                <w:color w:val="auto"/>
                <w:szCs w:val="21"/>
                <w:highlight w:val="none"/>
              </w:rPr>
              <w:t>评审因素</w:t>
            </w:r>
            <w:r>
              <w:rPr>
                <w:rFonts w:hint="eastAsia" w:ascii="宋体" w:hAnsi="宋体"/>
                <w:b/>
                <w:color w:val="auto"/>
                <w:szCs w:val="21"/>
                <w:highlight w:val="none"/>
              </w:rPr>
              <w:t>与评审标准</w:t>
            </w:r>
          </w:p>
        </w:tc>
      </w:tr>
      <w:tr w14:paraId="1546F99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421" w:hRule="atLeast"/>
          <w:jc w:val="center"/>
        </w:trPr>
        <w:tc>
          <w:tcPr>
            <w:tcW w:w="730" w:type="dxa"/>
            <w:noWrap w:val="0"/>
            <w:vAlign w:val="center"/>
          </w:tcPr>
          <w:p w14:paraId="1E2B4273">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1272" w:type="dxa"/>
            <w:noWrap w:val="0"/>
            <w:vAlign w:val="center"/>
          </w:tcPr>
          <w:p w14:paraId="1B9AD60A">
            <w:pPr>
              <w:snapToGrid w:val="0"/>
              <w:spacing w:line="320" w:lineRule="exact"/>
              <w:ind w:left="113" w:right="113"/>
              <w:contextualSpacing/>
              <w:jc w:val="center"/>
              <w:rPr>
                <w:rFonts w:ascii="宋体" w:hAnsi="宋体"/>
                <w:color w:val="auto"/>
                <w:szCs w:val="21"/>
                <w:highlight w:val="none"/>
              </w:rPr>
            </w:pPr>
            <w:r>
              <w:rPr>
                <w:rFonts w:hint="eastAsia" w:ascii="宋体" w:hAnsi="宋体"/>
                <w:color w:val="auto"/>
                <w:szCs w:val="21"/>
                <w:highlight w:val="none"/>
              </w:rPr>
              <w:t>评标方法</w:t>
            </w:r>
          </w:p>
        </w:tc>
        <w:tc>
          <w:tcPr>
            <w:tcW w:w="7009" w:type="dxa"/>
            <w:noWrap w:val="0"/>
            <w:vAlign w:val="center"/>
          </w:tcPr>
          <w:p w14:paraId="76F182C7">
            <w:pPr>
              <w:spacing w:line="320" w:lineRule="exact"/>
              <w:ind w:left="113" w:leftChars="54" w:right="113" w:firstLine="315" w:firstLineChars="150"/>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按照综合得分由高至低排序，推荐得分最高者为中标候选人，但投标报价低于其成本的除外。综合评分相等时，评标委员会依次按照以下优先顺序推荐中标候选人：</w:t>
            </w:r>
          </w:p>
          <w:p w14:paraId="48A05CDE">
            <w:pPr>
              <w:numPr>
                <w:ilvl w:val="0"/>
                <w:numId w:val="2"/>
              </w:numPr>
              <w:tabs>
                <w:tab w:val="left" w:pos="1070"/>
              </w:tabs>
              <w:rPr>
                <w:rFonts w:ascii="宋体" w:hAnsi="宋体"/>
                <w:color w:val="auto"/>
                <w:szCs w:val="21"/>
                <w:highlight w:val="none"/>
              </w:rPr>
            </w:pPr>
            <w:r>
              <w:rPr>
                <w:rFonts w:ascii="宋体" w:hAnsi="宋体" w:cs="David"/>
                <w:color w:val="auto"/>
                <w:szCs w:val="21"/>
                <w:highlight w:val="none"/>
                <w:shd w:val="clear" w:color="auto" w:fill="FFFFFF"/>
                <w:lang w:bidi="en-US"/>
              </w:rPr>
              <w:t>评标价低的投标人优先；</w:t>
            </w:r>
          </w:p>
          <w:p w14:paraId="01004533">
            <w:pPr>
              <w:numPr>
                <w:ilvl w:val="0"/>
                <w:numId w:val="2"/>
              </w:numPr>
              <w:tabs>
                <w:tab w:val="left" w:pos="1070"/>
              </w:tabs>
              <w:rPr>
                <w:rFonts w:ascii="宋体" w:hAnsi="宋体" w:eastAsia="宋体" w:cs="David"/>
                <w:color w:val="auto"/>
                <w:szCs w:val="21"/>
                <w:highlight w:val="none"/>
                <w:shd w:val="clear" w:color="auto" w:fill="FFFFFF"/>
                <w:lang w:bidi="en-US"/>
              </w:rPr>
            </w:pPr>
            <w:r>
              <w:rPr>
                <w:rFonts w:ascii="宋体" w:hAnsi="宋体" w:eastAsia="宋体" w:cs="David"/>
                <w:color w:val="auto"/>
                <w:szCs w:val="21"/>
                <w:highlight w:val="none"/>
                <w:shd w:val="clear" w:color="auto" w:fill="FFFFFF"/>
                <w:lang w:val="en-US" w:eastAsia="zh-CN" w:bidi="en-US"/>
              </w:rPr>
              <w:t>履约信誉得分高的投标人</w:t>
            </w:r>
            <w:r>
              <w:rPr>
                <w:rFonts w:hint="eastAsia" w:ascii="宋体" w:hAnsi="宋体" w:eastAsia="宋体" w:cs="David"/>
                <w:color w:val="auto"/>
                <w:szCs w:val="21"/>
                <w:highlight w:val="none"/>
                <w:shd w:val="clear" w:color="auto" w:fill="FFFFFF"/>
                <w:lang w:val="en-US" w:eastAsia="zh-CN" w:bidi="en-US"/>
              </w:rPr>
              <w:t>优先</w:t>
            </w:r>
            <w:r>
              <w:rPr>
                <w:rFonts w:hint="eastAsia" w:ascii="宋体" w:hAnsi="宋体" w:eastAsia="宋体" w:cs="David"/>
                <w:color w:val="auto"/>
                <w:szCs w:val="21"/>
                <w:highlight w:val="none"/>
                <w:shd w:val="clear" w:color="auto" w:fill="FFFFFF"/>
                <w:lang w:bidi="en-US"/>
              </w:rPr>
              <w:t>；</w:t>
            </w:r>
          </w:p>
          <w:p w14:paraId="7560DE26">
            <w:pPr>
              <w:numPr>
                <w:ilvl w:val="0"/>
                <w:numId w:val="2"/>
              </w:numPr>
              <w:tabs>
                <w:tab w:val="left" w:pos="1078"/>
              </w:tabs>
              <w:rPr>
                <w:rFonts w:ascii="宋体" w:hAnsi="宋体"/>
                <w:color w:val="auto"/>
                <w:szCs w:val="21"/>
                <w:highlight w:val="none"/>
              </w:rPr>
            </w:pPr>
            <w:r>
              <w:rPr>
                <w:rFonts w:hint="eastAsia" w:ascii="宋体" w:hAnsi="宋体"/>
                <w:color w:val="auto"/>
                <w:szCs w:val="21"/>
                <w:highlight w:val="none"/>
              </w:rPr>
              <w:t>评标委员会投票表决。</w:t>
            </w:r>
          </w:p>
        </w:tc>
      </w:tr>
      <w:tr w14:paraId="5418D1D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730" w:type="dxa"/>
            <w:noWrap w:val="0"/>
            <w:vAlign w:val="center"/>
          </w:tcPr>
          <w:p w14:paraId="6032D67A">
            <w:pPr>
              <w:spacing w:line="320" w:lineRule="exact"/>
              <w:jc w:val="center"/>
              <w:rPr>
                <w:rFonts w:ascii="宋体" w:hAnsi="宋体"/>
                <w:color w:val="auto"/>
                <w:szCs w:val="21"/>
                <w:highlight w:val="none"/>
              </w:rPr>
            </w:pPr>
            <w:r>
              <w:rPr>
                <w:rFonts w:ascii="宋体" w:hAnsi="宋体"/>
                <w:color w:val="auto"/>
                <w:szCs w:val="21"/>
                <w:highlight w:val="none"/>
              </w:rPr>
              <w:t>2.1.1</w:t>
            </w:r>
          </w:p>
          <w:p w14:paraId="544F208B">
            <w:pPr>
              <w:spacing w:line="320" w:lineRule="exact"/>
              <w:jc w:val="center"/>
              <w:rPr>
                <w:rFonts w:ascii="宋体" w:hAnsi="宋体"/>
                <w:color w:val="auto"/>
                <w:szCs w:val="21"/>
                <w:highlight w:val="none"/>
              </w:rPr>
            </w:pPr>
            <w:r>
              <w:rPr>
                <w:rFonts w:hint="eastAsia" w:ascii="宋体" w:hAnsi="宋体"/>
                <w:color w:val="auto"/>
                <w:szCs w:val="21"/>
                <w:highlight w:val="none"/>
              </w:rPr>
              <w:t>2.1.3</w:t>
            </w:r>
          </w:p>
        </w:tc>
        <w:tc>
          <w:tcPr>
            <w:tcW w:w="1272" w:type="dxa"/>
            <w:noWrap w:val="0"/>
            <w:vAlign w:val="center"/>
          </w:tcPr>
          <w:p w14:paraId="5301E617">
            <w:pPr>
              <w:snapToGrid w:val="0"/>
              <w:spacing w:line="320" w:lineRule="exact"/>
              <w:ind w:left="113" w:right="113"/>
              <w:contextualSpacing/>
              <w:jc w:val="center"/>
              <w:rPr>
                <w:rFonts w:ascii="宋体" w:hAnsi="宋体"/>
                <w:color w:val="auto"/>
                <w:szCs w:val="21"/>
                <w:highlight w:val="none"/>
              </w:rPr>
            </w:pPr>
            <w:r>
              <w:rPr>
                <w:rFonts w:hint="eastAsia" w:ascii="宋体" w:hAnsi="宋体"/>
                <w:color w:val="auto"/>
                <w:szCs w:val="21"/>
                <w:highlight w:val="none"/>
              </w:rPr>
              <w:t>形式评审与响应性评审标准</w:t>
            </w:r>
          </w:p>
        </w:tc>
        <w:tc>
          <w:tcPr>
            <w:tcW w:w="7009" w:type="dxa"/>
            <w:noWrap w:val="0"/>
            <w:vAlign w:val="center"/>
          </w:tcPr>
          <w:p w14:paraId="43B5CF05">
            <w:pPr>
              <w:spacing w:line="320" w:lineRule="exact"/>
              <w:ind w:left="113" w:right="113" w:firstLine="211" w:firstLineChars="100"/>
              <w:rPr>
                <w:rFonts w:ascii="宋体" w:hAnsi="宋体"/>
                <w:b/>
                <w:color w:val="auto"/>
                <w:szCs w:val="21"/>
                <w:highlight w:val="none"/>
              </w:rPr>
            </w:pPr>
            <w:r>
              <w:rPr>
                <w:rFonts w:hint="eastAsia" w:ascii="宋体" w:hAnsi="宋体"/>
                <w:b/>
                <w:color w:val="auto"/>
                <w:szCs w:val="21"/>
                <w:highlight w:val="none"/>
              </w:rPr>
              <w:t>第一个信封（商务及技术文件）评审标准：</w:t>
            </w:r>
          </w:p>
          <w:p w14:paraId="1B78B0E3">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（1）投标文件按照招标文件规定的格式、内容填写，字迹清晰可辨；</w:t>
            </w:r>
          </w:p>
          <w:p w14:paraId="29007C3A">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a.投标函按招标文件规定填报了项目名称、标段号、补遗书编号（如有）、监理服务期限、工程质量要求及安全目标；</w:t>
            </w:r>
          </w:p>
          <w:p w14:paraId="0C8D4098">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b.投标文件组成齐全完整，内容均按规定填写。</w:t>
            </w:r>
          </w:p>
          <w:p w14:paraId="20999B0E">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（2）投标文件上法定代表人或其委托代理人的签字、投标人的单位章盖章齐全，符合招标文件规定</w:t>
            </w:r>
            <w:r>
              <w:rPr>
                <w:rFonts w:hint="eastAsia" w:ascii="宋体" w:hAnsi="宋体"/>
                <w:szCs w:val="21"/>
                <w:highlight w:val="none"/>
              </w:rPr>
              <w:t>（可使用</w:t>
            </w:r>
            <w:r>
              <w:rPr>
                <w:rFonts w:hint="eastAsia" w:ascii="宋体" w:hAnsi="宋体" w:cs="宋体"/>
                <w:color w:val="363D45"/>
                <w:szCs w:val="21"/>
                <w:highlight w:val="none"/>
              </w:rPr>
              <w:t>公共资源交易一体化平台系统</w:t>
            </w:r>
            <w:r>
              <w:rPr>
                <w:rFonts w:hint="eastAsia" w:ascii="宋体" w:hAnsi="宋体"/>
                <w:szCs w:val="21"/>
                <w:highlight w:val="none"/>
              </w:rPr>
              <w:t>备案的电子签名</w:t>
            </w:r>
            <w:r>
              <w:rPr>
                <w:rFonts w:hint="eastAsia" w:ascii="宋体" w:hAnsi="宋体"/>
                <w:szCs w:val="21"/>
                <w:highlight w:val="none"/>
                <w:lang w:val="en-US" w:eastAsia="zh-CN"/>
              </w:rPr>
              <w:t>及签章</w:t>
            </w:r>
            <w:r>
              <w:rPr>
                <w:rFonts w:hint="eastAsia" w:ascii="宋体" w:hAnsi="宋体"/>
                <w:szCs w:val="21"/>
                <w:highlight w:val="none"/>
              </w:rPr>
              <w:t>）</w:t>
            </w:r>
            <w:r>
              <w:rPr>
                <w:rFonts w:hint="eastAsia" w:ascii="宋体" w:hAnsi="宋体"/>
                <w:color w:val="auto"/>
                <w:szCs w:val="21"/>
                <w:highlight w:val="none"/>
              </w:rPr>
              <w:t>。</w:t>
            </w:r>
          </w:p>
          <w:p w14:paraId="42ED4A1D">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（3）投标人按照招标文件的规定提供了投标保证金：</w:t>
            </w:r>
          </w:p>
          <w:p w14:paraId="527CBA41">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a.投标保证金金额符合招标文件规定的金额，且投标保证金有效期不少于投标有效期；</w:t>
            </w:r>
          </w:p>
          <w:p w14:paraId="31B0D204">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b.若投标保证金采用现金或支票形式提交，投标人应在</w:t>
            </w:r>
            <w:r>
              <w:rPr>
                <w:rFonts w:hint="eastAsia" w:ascii="宋体" w:hAnsi="宋体" w:cs="宋体"/>
                <w:bCs/>
                <w:color w:val="auto"/>
                <w:szCs w:val="21"/>
                <w:highlight w:val="none"/>
                <w:lang w:val="zh-CN"/>
              </w:rPr>
              <w:t>投标</w:t>
            </w:r>
            <w:r>
              <w:rPr>
                <w:rFonts w:hint="eastAsia" w:ascii="宋体" w:hAnsi="宋体"/>
                <w:color w:val="auto"/>
                <w:szCs w:val="21"/>
                <w:highlight w:val="none"/>
              </w:rPr>
              <w:t>截止时间之前，将投标保证金由投标人的基本账户一次性转入并到达招标人指定账户；</w:t>
            </w:r>
          </w:p>
          <w:p w14:paraId="0C96C691">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c.</w:t>
            </w:r>
            <w:r>
              <w:rPr>
                <w:rFonts w:hint="eastAsia" w:ascii="宋体" w:hAnsi="宋体"/>
                <w:bCs/>
                <w:color w:val="auto"/>
                <w:highlight w:val="none"/>
                <w:lang w:val="zh-CN"/>
              </w:rPr>
              <w:t>若投标保证金采用</w:t>
            </w:r>
            <w:r>
              <w:rPr>
                <w:rFonts w:hint="eastAsia" w:ascii="宋体" w:hAnsi="宋体"/>
                <w:bCs/>
                <w:color w:val="auto"/>
                <w:highlight w:val="none"/>
                <w:lang w:val="en-US" w:eastAsia="zh-CN"/>
              </w:rPr>
              <w:t>保函</w:t>
            </w:r>
            <w:r>
              <w:rPr>
                <w:rFonts w:hint="eastAsia" w:ascii="宋体" w:hAnsi="宋体"/>
                <w:bCs/>
                <w:color w:val="auto"/>
                <w:highlight w:val="none"/>
                <w:lang w:val="zh-CN"/>
              </w:rPr>
              <w:t>形式提交，</w:t>
            </w:r>
            <w:r>
              <w:rPr>
                <w:rFonts w:hint="eastAsia" w:ascii="宋体" w:hAnsi="宋体"/>
                <w:bCs/>
                <w:color w:val="auto"/>
                <w:highlight w:val="none"/>
                <w:lang w:val="en-US" w:eastAsia="zh-CN"/>
              </w:rPr>
              <w:t>应满足一体化平台相关要求</w:t>
            </w:r>
            <w:r>
              <w:rPr>
                <w:rFonts w:hint="eastAsia" w:ascii="宋体" w:hAnsi="宋体"/>
                <w:bCs/>
                <w:color w:val="auto"/>
                <w:highlight w:val="none"/>
                <w:lang w:val="zh-CN"/>
              </w:rPr>
              <w:t>。</w:t>
            </w:r>
          </w:p>
          <w:p w14:paraId="00904DF0">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（4）投标人法定代表人授权委托代理人签署投标文件的，须提交授权委托书，且授权人和被授权人均在授权委托书上签名，未使用印章、签名章或其他电子制版签名代替</w:t>
            </w:r>
            <w:r>
              <w:rPr>
                <w:rFonts w:hint="eastAsia" w:ascii="宋体" w:hAnsi="宋体"/>
                <w:szCs w:val="21"/>
                <w:highlight w:val="none"/>
              </w:rPr>
              <w:t>（可使用</w:t>
            </w:r>
            <w:r>
              <w:rPr>
                <w:rFonts w:hint="eastAsia" w:ascii="宋体" w:hAnsi="宋体" w:cs="宋体"/>
                <w:color w:val="363D45"/>
                <w:szCs w:val="21"/>
                <w:highlight w:val="none"/>
              </w:rPr>
              <w:t>公共资源交易一体化平台系统</w:t>
            </w:r>
            <w:r>
              <w:rPr>
                <w:rFonts w:hint="eastAsia" w:ascii="宋体" w:hAnsi="宋体"/>
                <w:szCs w:val="21"/>
                <w:highlight w:val="none"/>
              </w:rPr>
              <w:t>备案的电子签名</w:t>
            </w:r>
            <w:r>
              <w:rPr>
                <w:rFonts w:hint="eastAsia" w:ascii="宋体" w:hAnsi="宋体"/>
                <w:szCs w:val="21"/>
                <w:highlight w:val="none"/>
                <w:lang w:val="en-US" w:eastAsia="zh-CN"/>
              </w:rPr>
              <w:t>及签章</w:t>
            </w:r>
            <w:r>
              <w:rPr>
                <w:rFonts w:hint="eastAsia" w:ascii="宋体" w:hAnsi="宋体"/>
                <w:szCs w:val="21"/>
                <w:highlight w:val="none"/>
              </w:rPr>
              <w:t>）</w:t>
            </w:r>
            <w:r>
              <w:rPr>
                <w:rFonts w:hint="eastAsia" w:ascii="宋体" w:hAnsi="宋体"/>
                <w:color w:val="auto"/>
                <w:szCs w:val="21"/>
                <w:highlight w:val="none"/>
              </w:rPr>
              <w:t>。</w:t>
            </w:r>
          </w:p>
          <w:p w14:paraId="4CABE550">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（5）投标人法定代表人亲自签署投标文件的，提供了法定代表人身份证明，且法定代表人在法定代表人身份证明上签名，未使用印章、签名章或其他电子制版签名代替</w:t>
            </w:r>
            <w:r>
              <w:rPr>
                <w:rFonts w:hint="eastAsia" w:ascii="宋体" w:hAnsi="宋体"/>
                <w:szCs w:val="21"/>
                <w:highlight w:val="none"/>
              </w:rPr>
              <w:t>（可使用</w:t>
            </w:r>
            <w:r>
              <w:rPr>
                <w:rFonts w:hint="eastAsia" w:ascii="宋体" w:hAnsi="宋体" w:cs="宋体"/>
                <w:color w:val="363D45"/>
                <w:szCs w:val="21"/>
                <w:highlight w:val="none"/>
              </w:rPr>
              <w:t>公共资源交易一体化平台系统</w:t>
            </w:r>
            <w:r>
              <w:rPr>
                <w:rFonts w:hint="eastAsia" w:ascii="宋体" w:hAnsi="宋体"/>
                <w:szCs w:val="21"/>
                <w:highlight w:val="none"/>
              </w:rPr>
              <w:t>备案的电子签名</w:t>
            </w:r>
            <w:r>
              <w:rPr>
                <w:rFonts w:hint="eastAsia" w:ascii="宋体" w:hAnsi="宋体"/>
                <w:szCs w:val="21"/>
                <w:highlight w:val="none"/>
                <w:lang w:val="en-US" w:eastAsia="zh-CN"/>
              </w:rPr>
              <w:t>及签章</w:t>
            </w:r>
            <w:r>
              <w:rPr>
                <w:rFonts w:hint="eastAsia" w:ascii="宋体" w:hAnsi="宋体"/>
                <w:szCs w:val="21"/>
                <w:highlight w:val="none"/>
              </w:rPr>
              <w:t>）</w:t>
            </w:r>
            <w:r>
              <w:rPr>
                <w:rFonts w:hint="eastAsia" w:ascii="宋体" w:hAnsi="宋体"/>
                <w:color w:val="auto"/>
                <w:szCs w:val="21"/>
                <w:highlight w:val="none"/>
              </w:rPr>
              <w:t>。</w:t>
            </w:r>
          </w:p>
        </w:tc>
      </w:tr>
      <w:tr w14:paraId="06E2EFC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9002" w:hRule="atLeast"/>
          <w:jc w:val="center"/>
        </w:trPr>
        <w:tc>
          <w:tcPr>
            <w:tcW w:w="730" w:type="dxa"/>
            <w:noWrap w:val="0"/>
            <w:vAlign w:val="center"/>
          </w:tcPr>
          <w:p w14:paraId="0B316F6C">
            <w:pPr>
              <w:spacing w:line="320" w:lineRule="exact"/>
              <w:jc w:val="center"/>
              <w:rPr>
                <w:rFonts w:ascii="宋体" w:hAnsi="宋体"/>
                <w:color w:val="auto"/>
                <w:szCs w:val="21"/>
                <w:highlight w:val="none"/>
              </w:rPr>
            </w:pPr>
            <w:r>
              <w:rPr>
                <w:rFonts w:ascii="宋体" w:hAnsi="宋体"/>
                <w:color w:val="auto"/>
                <w:szCs w:val="21"/>
                <w:highlight w:val="none"/>
              </w:rPr>
              <w:t>2.1.1</w:t>
            </w:r>
          </w:p>
          <w:p w14:paraId="78BF1CF7">
            <w:pPr>
              <w:spacing w:line="320" w:lineRule="exact"/>
              <w:jc w:val="center"/>
              <w:rPr>
                <w:rFonts w:ascii="宋体" w:hAnsi="宋体"/>
                <w:color w:val="auto"/>
                <w:szCs w:val="21"/>
                <w:highlight w:val="none"/>
              </w:rPr>
            </w:pPr>
            <w:r>
              <w:rPr>
                <w:rFonts w:hint="eastAsia" w:ascii="宋体" w:hAnsi="宋体"/>
                <w:color w:val="auto"/>
                <w:szCs w:val="21"/>
                <w:highlight w:val="none"/>
              </w:rPr>
              <w:t>2.1.3</w:t>
            </w:r>
          </w:p>
        </w:tc>
        <w:tc>
          <w:tcPr>
            <w:tcW w:w="1272" w:type="dxa"/>
            <w:noWrap w:val="0"/>
            <w:vAlign w:val="center"/>
          </w:tcPr>
          <w:p w14:paraId="1A5050F3">
            <w:pPr>
              <w:snapToGrid w:val="0"/>
              <w:spacing w:line="320" w:lineRule="exact"/>
              <w:ind w:left="113" w:right="113"/>
              <w:contextualSpacing/>
              <w:jc w:val="center"/>
              <w:rPr>
                <w:rFonts w:ascii="宋体" w:hAnsi="宋体"/>
                <w:color w:val="auto"/>
                <w:szCs w:val="21"/>
                <w:highlight w:val="none"/>
              </w:rPr>
            </w:pPr>
            <w:r>
              <w:rPr>
                <w:rFonts w:hint="eastAsia" w:ascii="宋体" w:hAnsi="宋体"/>
                <w:color w:val="auto"/>
                <w:szCs w:val="21"/>
                <w:highlight w:val="none"/>
              </w:rPr>
              <w:t>形式评审与响应性评审标准</w:t>
            </w:r>
          </w:p>
        </w:tc>
        <w:tc>
          <w:tcPr>
            <w:tcW w:w="7009" w:type="dxa"/>
            <w:noWrap w:val="0"/>
            <w:vAlign w:val="top"/>
          </w:tcPr>
          <w:p w14:paraId="2C06E5FB">
            <w:pPr>
              <w:spacing w:line="320" w:lineRule="exact"/>
              <w:ind w:left="113" w:right="113" w:firstLine="210" w:firstLineChars="100"/>
              <w:rPr>
                <w:rFonts w:hint="eastAsia" w:ascii="Times New Roman" w:hAnsi="Times New Roman" w:eastAsia="宋体" w:cs="Times New Roman"/>
                <w:color w:val="auto"/>
                <w:szCs w:val="21"/>
                <w:highlight w:val="none"/>
                <w:lang w:eastAsia="zh-CN"/>
              </w:rPr>
            </w:pPr>
            <w:r>
              <w:rPr>
                <w:rFonts w:hint="eastAsia" w:ascii="宋体" w:hAnsi="宋体"/>
                <w:color w:val="auto"/>
                <w:szCs w:val="21"/>
                <w:highlight w:val="none"/>
              </w:rPr>
              <w:t>（6）</w:t>
            </w:r>
            <w:r>
              <w:rPr>
                <w:rFonts w:hint="eastAsia"/>
                <w:color w:val="auto"/>
                <w:szCs w:val="21"/>
                <w:highlight w:val="none"/>
              </w:rPr>
              <w:t>投标人</w:t>
            </w:r>
            <w:r>
              <w:rPr>
                <w:rFonts w:hint="eastAsia"/>
                <w:color w:val="auto"/>
                <w:szCs w:val="21"/>
                <w:highlight w:val="none"/>
                <w:lang w:val="en-US" w:eastAsia="zh-CN"/>
              </w:rPr>
              <w:t>未</w:t>
            </w:r>
            <w:r>
              <w:rPr>
                <w:rFonts w:hint="eastAsia"/>
                <w:color w:val="auto"/>
                <w:szCs w:val="21"/>
                <w:highlight w:val="none"/>
              </w:rPr>
              <w:t>以联合体形式投标</w:t>
            </w:r>
            <w:r>
              <w:rPr>
                <w:rFonts w:hint="eastAsia"/>
                <w:color w:val="auto"/>
                <w:szCs w:val="21"/>
                <w:highlight w:val="none"/>
                <w:lang w:eastAsia="zh-CN"/>
              </w:rPr>
              <w:t>。</w:t>
            </w:r>
          </w:p>
          <w:p w14:paraId="7876A596">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（7）同一投标人未提交两个以上不同的投标文件，但招标文件要求提交备选投标的除外。</w:t>
            </w:r>
          </w:p>
          <w:p w14:paraId="440AAE78">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（8）投标文件中未出现有关投标报价的内容。</w:t>
            </w:r>
          </w:p>
          <w:p w14:paraId="3BFE7FA8">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（9）投标文件载明的招标项目完成期限符合招标文件规定。</w:t>
            </w:r>
          </w:p>
          <w:p w14:paraId="19F02080">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（10）投标文件对招标文件的实质性要求和条件作出响应。</w:t>
            </w:r>
          </w:p>
          <w:p w14:paraId="1E49E697">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（11）权利义务符合招标文件规定：</w:t>
            </w:r>
          </w:p>
          <w:p w14:paraId="27C649D8">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a.投标人应接受招标文件规定的风险划分原则，未提出新的风险划分办法；</w:t>
            </w:r>
          </w:p>
          <w:p w14:paraId="17F3A93F">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b.投标人未增加委托人的责任范围，或减少投标人义务；</w:t>
            </w:r>
          </w:p>
          <w:p w14:paraId="1A1140DE">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c.投标人未提出不同的支付办法；</w:t>
            </w:r>
          </w:p>
          <w:p w14:paraId="742DAFF4">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d.投标人对合同纠纷、事故处理办法未提出异议；</w:t>
            </w:r>
          </w:p>
          <w:p w14:paraId="72301249">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e.投标人在投标活动中无欺诈行为；</w:t>
            </w:r>
          </w:p>
          <w:p w14:paraId="4E1FAECD">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f.投标人未对合同条款有重要保留。</w:t>
            </w:r>
          </w:p>
          <w:p w14:paraId="1BFEFFB1">
            <w:pPr>
              <w:spacing w:line="320" w:lineRule="exact"/>
              <w:ind w:left="113" w:right="113" w:firstLine="211" w:firstLineChars="100"/>
              <w:rPr>
                <w:rFonts w:ascii="宋体" w:hAnsi="宋体"/>
                <w:b/>
                <w:color w:val="auto"/>
                <w:szCs w:val="21"/>
                <w:highlight w:val="none"/>
              </w:rPr>
            </w:pPr>
            <w:r>
              <w:rPr>
                <w:rFonts w:hint="eastAsia" w:ascii="宋体" w:hAnsi="宋体"/>
                <w:b/>
                <w:color w:val="auto"/>
                <w:szCs w:val="21"/>
                <w:highlight w:val="none"/>
              </w:rPr>
              <w:t>第二个信封（报价文件）评审标准：</w:t>
            </w:r>
          </w:p>
          <w:p w14:paraId="5E225B1A">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（1）投标文件按照招标文件规定的格式、内容填写，字迹清晰可辨，内容齐全完整：</w:t>
            </w:r>
          </w:p>
          <w:p w14:paraId="2706A306">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a.投标函按招标文件规定填报了项目名称、标段号、补遗书编号（如有）、投标价（包括大写金额和小写金额）；</w:t>
            </w:r>
          </w:p>
          <w:p w14:paraId="7F33BB78">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b.已标价报价清单说明文字与招标文件规定一致，未进行实质性修改和删减；</w:t>
            </w:r>
          </w:p>
          <w:p w14:paraId="7EF84828">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c.投标文件组成齐全完整，内容均按规定填写。</w:t>
            </w:r>
          </w:p>
          <w:p w14:paraId="3095FD32">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（2）投标文件上法定代表人或其委托代理人的签字、投标人的单位章盖章齐全，符合招标文件规定</w:t>
            </w:r>
            <w:r>
              <w:rPr>
                <w:rFonts w:hint="eastAsia" w:ascii="宋体" w:hAnsi="宋体"/>
                <w:szCs w:val="21"/>
                <w:highlight w:val="none"/>
              </w:rPr>
              <w:t>（可使用</w:t>
            </w:r>
            <w:r>
              <w:rPr>
                <w:rFonts w:hint="eastAsia" w:ascii="宋体" w:hAnsi="宋体" w:cs="宋体"/>
                <w:color w:val="363D45"/>
                <w:szCs w:val="21"/>
                <w:highlight w:val="none"/>
              </w:rPr>
              <w:t>公共资源交易一体化平台系统</w:t>
            </w:r>
            <w:r>
              <w:rPr>
                <w:rFonts w:hint="eastAsia" w:ascii="宋体" w:hAnsi="宋体"/>
                <w:szCs w:val="21"/>
                <w:highlight w:val="none"/>
              </w:rPr>
              <w:t>备案的电子签名</w:t>
            </w:r>
            <w:r>
              <w:rPr>
                <w:rFonts w:hint="eastAsia" w:ascii="宋体" w:hAnsi="宋体"/>
                <w:szCs w:val="21"/>
                <w:highlight w:val="none"/>
                <w:lang w:val="en-US" w:eastAsia="zh-CN"/>
              </w:rPr>
              <w:t>及签章</w:t>
            </w:r>
            <w:r>
              <w:rPr>
                <w:rFonts w:hint="eastAsia" w:ascii="宋体" w:hAnsi="宋体"/>
                <w:szCs w:val="21"/>
                <w:highlight w:val="none"/>
              </w:rPr>
              <w:t>）</w:t>
            </w:r>
            <w:r>
              <w:rPr>
                <w:rFonts w:hint="eastAsia" w:ascii="宋体" w:hAnsi="宋体"/>
                <w:color w:val="auto"/>
                <w:szCs w:val="21"/>
                <w:highlight w:val="none"/>
              </w:rPr>
              <w:t>。</w:t>
            </w:r>
          </w:p>
          <w:p w14:paraId="1424B451">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（3）投标报价未超过招标文件设定的最高投标限价。</w:t>
            </w:r>
          </w:p>
          <w:p w14:paraId="0B3EE4A3">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（4）投标报价的大写金额能够确定具体数值。</w:t>
            </w:r>
          </w:p>
          <w:p w14:paraId="66CD5506">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（5）同一投标人未提交两个以上不同的投标报价，但招标文件要求提交备选投标的除外。</w:t>
            </w:r>
          </w:p>
        </w:tc>
      </w:tr>
      <w:tr w14:paraId="4B00279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381" w:hRule="atLeast"/>
          <w:jc w:val="center"/>
        </w:trPr>
        <w:tc>
          <w:tcPr>
            <w:tcW w:w="730" w:type="dxa"/>
            <w:noWrap w:val="0"/>
            <w:vAlign w:val="center"/>
          </w:tcPr>
          <w:p w14:paraId="1A63B170">
            <w:pPr>
              <w:spacing w:line="320" w:lineRule="exact"/>
              <w:jc w:val="center"/>
              <w:rPr>
                <w:rFonts w:ascii="宋体" w:hAnsi="宋体"/>
                <w:color w:val="auto"/>
                <w:szCs w:val="21"/>
                <w:highlight w:val="none"/>
              </w:rPr>
            </w:pPr>
            <w:r>
              <w:rPr>
                <w:rFonts w:hint="eastAsia" w:ascii="宋体" w:hAnsi="宋体"/>
                <w:color w:val="auto"/>
                <w:szCs w:val="21"/>
                <w:highlight w:val="none"/>
              </w:rPr>
              <w:t>2.1.2</w:t>
            </w:r>
          </w:p>
        </w:tc>
        <w:tc>
          <w:tcPr>
            <w:tcW w:w="1272" w:type="dxa"/>
            <w:noWrap w:val="0"/>
            <w:vAlign w:val="center"/>
          </w:tcPr>
          <w:p w14:paraId="0E79C0A0">
            <w:pPr>
              <w:snapToGrid w:val="0"/>
              <w:spacing w:line="320" w:lineRule="exact"/>
              <w:ind w:left="113" w:right="113"/>
              <w:contextualSpacing/>
              <w:jc w:val="center"/>
              <w:rPr>
                <w:rFonts w:ascii="宋体" w:hAnsi="宋体"/>
                <w:color w:val="auto"/>
                <w:szCs w:val="21"/>
                <w:highlight w:val="none"/>
              </w:rPr>
            </w:pPr>
            <w:r>
              <w:rPr>
                <w:rFonts w:hint="eastAsia" w:ascii="宋体" w:hAnsi="宋体"/>
                <w:color w:val="auto"/>
                <w:szCs w:val="21"/>
                <w:highlight w:val="none"/>
              </w:rPr>
              <w:t>资格评审标准</w:t>
            </w:r>
          </w:p>
        </w:tc>
        <w:tc>
          <w:tcPr>
            <w:tcW w:w="7009" w:type="dxa"/>
            <w:noWrap w:val="0"/>
            <w:vAlign w:val="center"/>
          </w:tcPr>
          <w:p w14:paraId="50BE1064">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（1）投标人具备有效的营业执照、组织机构代码证</w:t>
            </w:r>
            <w:r>
              <w:rPr>
                <w:rFonts w:ascii="宋体" w:hAnsi="宋体"/>
                <w:color w:val="auto"/>
                <w:szCs w:val="21"/>
                <w:highlight w:val="none"/>
                <w:vertAlign w:val="superscript"/>
              </w:rPr>
              <w:footnoteReference w:id="5"/>
            </w:r>
            <w:r>
              <w:rPr>
                <w:rFonts w:hint="eastAsia" w:ascii="宋体" w:hAnsi="宋体"/>
                <w:color w:val="auto"/>
                <w:szCs w:val="21"/>
                <w:highlight w:val="none"/>
              </w:rPr>
              <w:t>、监理资质证书</w:t>
            </w:r>
            <w:r>
              <w:rPr>
                <w:rFonts w:hint="eastAsia" w:ascii="宋体" w:hAnsi="宋体"/>
                <w:color w:val="auto"/>
                <w:szCs w:val="21"/>
                <w:highlight w:val="none"/>
                <w:lang w:eastAsia="zh-CN"/>
              </w:rPr>
              <w:t>、</w:t>
            </w:r>
            <w:r>
              <w:rPr>
                <w:rFonts w:hint="eastAsia" w:ascii="宋体" w:hAnsi="宋体" w:eastAsia="宋体" w:cs="Times New Roman"/>
                <w:color w:val="auto"/>
                <w:szCs w:val="21"/>
                <w:highlight w:val="none"/>
                <w:lang w:val="en-US" w:eastAsia="zh-CN"/>
              </w:rPr>
              <w:t>质量检测机构资质证书</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检验检测机构资质认定证书（有CMA许可使用标志）</w:t>
            </w:r>
            <w:r>
              <w:rPr>
                <w:rFonts w:hint="eastAsia" w:ascii="宋体" w:hAnsi="宋体"/>
                <w:color w:val="auto"/>
                <w:szCs w:val="21"/>
                <w:highlight w:val="none"/>
              </w:rPr>
              <w:t>和基本账户开户</w:t>
            </w:r>
            <w:r>
              <w:rPr>
                <w:rFonts w:hint="eastAsia" w:ascii="宋体" w:hAnsi="宋体"/>
                <w:color w:val="auto"/>
                <w:szCs w:val="21"/>
                <w:highlight w:val="none"/>
                <w:lang w:eastAsia="zh-CN"/>
              </w:rPr>
              <w:t>证明材料</w:t>
            </w:r>
            <w:r>
              <w:rPr>
                <w:rFonts w:hint="eastAsia" w:ascii="宋体" w:hAnsi="宋体"/>
                <w:color w:val="auto"/>
                <w:szCs w:val="21"/>
                <w:highlight w:val="none"/>
              </w:rPr>
              <w:t>。</w:t>
            </w:r>
          </w:p>
          <w:p w14:paraId="08788557">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（2）投标人的资质等级符合招标文件规定。</w:t>
            </w:r>
          </w:p>
          <w:p w14:paraId="69BD2A87">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（3）投标人的类似项目业绩符合招标文件规定。</w:t>
            </w:r>
          </w:p>
          <w:p w14:paraId="059E40A7">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（4）投标人的信誉符合招标文件规定。</w:t>
            </w:r>
          </w:p>
          <w:p w14:paraId="66E6B753">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（5）投标人的</w:t>
            </w:r>
            <w:r>
              <w:rPr>
                <w:rFonts w:hint="eastAsia" w:ascii="宋体" w:hAnsi="宋体"/>
                <w:color w:val="auto"/>
                <w:szCs w:val="21"/>
                <w:highlight w:val="none"/>
                <w:lang w:eastAsia="zh-CN"/>
              </w:rPr>
              <w:t>总</w:t>
            </w:r>
            <w:r>
              <w:rPr>
                <w:rFonts w:hint="eastAsia" w:ascii="宋体" w:hAnsi="宋体"/>
                <w:color w:val="auto"/>
                <w:szCs w:val="21"/>
                <w:highlight w:val="none"/>
              </w:rPr>
              <w:t>监理工程师资格、在岗情况符合招标文件规定。</w:t>
            </w:r>
          </w:p>
          <w:p w14:paraId="24B195BA">
            <w:pPr>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）投标人不存在第二章“投标人须知”第1.4.3项或第1.4.4项规定的任何一种情形。</w:t>
            </w:r>
          </w:p>
          <w:p w14:paraId="289D5D4E">
            <w:pPr>
              <w:spacing w:line="320" w:lineRule="exact"/>
              <w:ind w:left="113" w:right="113"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）投标人符合第二章“投标人须知”第1.4.5项规定。</w:t>
            </w:r>
            <w:r>
              <w:rPr>
                <w:rFonts w:ascii="宋体" w:hAnsi="宋体"/>
                <w:color w:val="auto"/>
                <w:szCs w:val="21"/>
                <w:highlight w:val="none"/>
                <w:vertAlign w:val="superscript"/>
              </w:rPr>
              <w:footnoteReference w:id="6"/>
            </w:r>
          </w:p>
        </w:tc>
      </w:tr>
    </w:tbl>
    <w:p w14:paraId="71EB19FC">
      <w:pPr>
        <w:spacing w:line="320" w:lineRule="exact"/>
        <w:jc w:val="right"/>
        <w:rPr>
          <w:rFonts w:ascii="宋体" w:hAnsi="宋体"/>
          <w:color w:val="auto"/>
          <w:szCs w:val="21"/>
          <w:highlight w:val="none"/>
        </w:rPr>
      </w:pPr>
    </w:p>
    <w:p w14:paraId="70668411">
      <w:pPr>
        <w:spacing w:line="320" w:lineRule="exact"/>
        <w:jc w:val="right"/>
        <w:rPr>
          <w:rFonts w:ascii="宋体" w:hAnsi="宋体"/>
          <w:color w:val="auto"/>
          <w:szCs w:val="21"/>
          <w:highlight w:val="none"/>
        </w:rPr>
      </w:pPr>
      <w:r>
        <w:rPr>
          <w:rFonts w:hint="eastAsia" w:ascii="宋体" w:hAnsi="宋体"/>
          <w:color w:val="auto"/>
          <w:szCs w:val="21"/>
          <w:highlight w:val="none"/>
        </w:rPr>
        <w:t>续上表</w:t>
      </w:r>
    </w:p>
    <w:tbl>
      <w:tblPr>
        <w:tblStyle w:val="1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9"/>
        <w:gridCol w:w="2241"/>
        <w:gridCol w:w="5942"/>
      </w:tblGrid>
      <w:tr w14:paraId="3A48F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00" w:hRule="atLeast"/>
          <w:tblHeader/>
          <w:jc w:val="center"/>
        </w:trPr>
        <w:tc>
          <w:tcPr>
            <w:tcW w:w="869" w:type="dxa"/>
            <w:noWrap w:val="0"/>
            <w:vAlign w:val="center"/>
          </w:tcPr>
          <w:p w14:paraId="57620F29">
            <w:pPr>
              <w:spacing w:line="320" w:lineRule="exact"/>
              <w:ind w:right="27"/>
              <w:jc w:val="center"/>
              <w:rPr>
                <w:rFonts w:ascii="宋体" w:hAnsi="宋体"/>
                <w:b/>
                <w:color w:val="auto"/>
                <w:szCs w:val="21"/>
                <w:highlight w:val="none"/>
              </w:rPr>
            </w:pPr>
            <w:r>
              <w:rPr>
                <w:rFonts w:hint="eastAsia" w:ascii="宋体" w:hAnsi="宋体"/>
                <w:b/>
                <w:color w:val="auto"/>
                <w:szCs w:val="21"/>
                <w:highlight w:val="none"/>
              </w:rPr>
              <w:t>条款号</w:t>
            </w:r>
          </w:p>
        </w:tc>
        <w:tc>
          <w:tcPr>
            <w:tcW w:w="2241" w:type="dxa"/>
            <w:noWrap w:val="0"/>
            <w:vAlign w:val="center"/>
          </w:tcPr>
          <w:p w14:paraId="70A47A20">
            <w:pPr>
              <w:spacing w:line="320" w:lineRule="exact"/>
              <w:ind w:right="113"/>
              <w:jc w:val="center"/>
              <w:rPr>
                <w:rFonts w:ascii="宋体" w:hAnsi="宋体"/>
                <w:b/>
                <w:color w:val="auto"/>
                <w:szCs w:val="21"/>
                <w:highlight w:val="none"/>
              </w:rPr>
            </w:pPr>
            <w:r>
              <w:rPr>
                <w:rFonts w:hint="eastAsia" w:ascii="宋体" w:hAnsi="宋体"/>
                <w:b/>
                <w:color w:val="auto"/>
                <w:szCs w:val="21"/>
                <w:highlight w:val="none"/>
              </w:rPr>
              <w:t>条款内容</w:t>
            </w:r>
          </w:p>
        </w:tc>
        <w:tc>
          <w:tcPr>
            <w:tcW w:w="5942" w:type="dxa"/>
            <w:noWrap w:val="0"/>
            <w:vAlign w:val="center"/>
          </w:tcPr>
          <w:p w14:paraId="39794665">
            <w:pPr>
              <w:spacing w:line="320" w:lineRule="exact"/>
              <w:ind w:right="113"/>
              <w:jc w:val="center"/>
              <w:rPr>
                <w:rFonts w:ascii="宋体" w:hAnsi="宋体"/>
                <w:b/>
                <w:color w:val="auto"/>
                <w:szCs w:val="21"/>
                <w:highlight w:val="none"/>
              </w:rPr>
            </w:pPr>
            <w:r>
              <w:rPr>
                <w:rFonts w:hint="eastAsia" w:ascii="宋体" w:hAnsi="宋体"/>
                <w:b/>
                <w:color w:val="auto"/>
                <w:szCs w:val="21"/>
                <w:highlight w:val="none"/>
              </w:rPr>
              <w:t>编列内容</w:t>
            </w:r>
          </w:p>
        </w:tc>
      </w:tr>
      <w:tr w14:paraId="60E9D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4" w:hRule="atLeast"/>
          <w:jc w:val="center"/>
        </w:trPr>
        <w:tc>
          <w:tcPr>
            <w:tcW w:w="869" w:type="dxa"/>
            <w:noWrap w:val="0"/>
            <w:vAlign w:val="center"/>
          </w:tcPr>
          <w:p w14:paraId="6BAA3D2A">
            <w:pPr>
              <w:spacing w:line="320" w:lineRule="exact"/>
              <w:ind w:right="27"/>
              <w:jc w:val="center"/>
              <w:rPr>
                <w:rFonts w:ascii="宋体" w:hAnsi="宋体"/>
                <w:color w:val="auto"/>
                <w:szCs w:val="21"/>
                <w:highlight w:val="none"/>
              </w:rPr>
            </w:pPr>
            <w:r>
              <w:rPr>
                <w:rFonts w:hint="eastAsia" w:ascii="宋体" w:hAnsi="宋体"/>
                <w:color w:val="auto"/>
                <w:szCs w:val="21"/>
                <w:highlight w:val="none"/>
              </w:rPr>
              <w:t>2.2.1</w:t>
            </w:r>
          </w:p>
        </w:tc>
        <w:tc>
          <w:tcPr>
            <w:tcW w:w="2241" w:type="dxa"/>
            <w:noWrap w:val="0"/>
            <w:vAlign w:val="center"/>
          </w:tcPr>
          <w:p w14:paraId="6709AB64">
            <w:pPr>
              <w:spacing w:line="320" w:lineRule="exact"/>
              <w:ind w:right="113"/>
              <w:jc w:val="center"/>
              <w:rPr>
                <w:rFonts w:ascii="宋体" w:hAnsi="宋体"/>
                <w:color w:val="auto"/>
                <w:szCs w:val="21"/>
                <w:highlight w:val="none"/>
              </w:rPr>
            </w:pPr>
            <w:r>
              <w:rPr>
                <w:rFonts w:hint="eastAsia" w:ascii="宋体" w:hAnsi="宋体"/>
                <w:color w:val="auto"/>
                <w:szCs w:val="21"/>
                <w:highlight w:val="none"/>
              </w:rPr>
              <w:t>分值构成</w:t>
            </w:r>
          </w:p>
          <w:p w14:paraId="03001EB5">
            <w:pPr>
              <w:spacing w:line="320" w:lineRule="exact"/>
              <w:ind w:right="113"/>
              <w:jc w:val="center"/>
              <w:rPr>
                <w:rFonts w:ascii="宋体" w:hAnsi="宋体"/>
                <w:color w:val="auto"/>
                <w:szCs w:val="21"/>
                <w:highlight w:val="none"/>
              </w:rPr>
            </w:pPr>
            <w:r>
              <w:rPr>
                <w:rFonts w:hint="eastAsia" w:ascii="宋体" w:hAnsi="宋体"/>
                <w:color w:val="auto"/>
                <w:szCs w:val="21"/>
                <w:highlight w:val="none"/>
              </w:rPr>
              <w:t>（总分100分）</w:t>
            </w:r>
          </w:p>
        </w:tc>
        <w:tc>
          <w:tcPr>
            <w:tcW w:w="5942" w:type="dxa"/>
            <w:noWrap w:val="0"/>
            <w:vAlign w:val="center"/>
          </w:tcPr>
          <w:p w14:paraId="426C74A3">
            <w:pPr>
              <w:spacing w:line="320" w:lineRule="exact"/>
              <w:ind w:left="113" w:leftChars="54" w:right="113" w:firstLine="420" w:firstLineChars="199"/>
              <w:rPr>
                <w:rFonts w:ascii="宋体" w:hAnsi="宋体"/>
                <w:b/>
                <w:color w:val="auto"/>
                <w:szCs w:val="21"/>
                <w:highlight w:val="none"/>
              </w:rPr>
            </w:pPr>
            <w:r>
              <w:rPr>
                <w:rFonts w:hint="eastAsia" w:ascii="宋体" w:hAnsi="宋体"/>
                <w:b/>
                <w:color w:val="auto"/>
                <w:szCs w:val="21"/>
                <w:highlight w:val="none"/>
              </w:rPr>
              <w:t>第一个信封（商务及技术文件）评分分值构成：</w:t>
            </w:r>
          </w:p>
          <w:p w14:paraId="423F4848">
            <w:pPr>
              <w:spacing w:line="320" w:lineRule="exact"/>
              <w:ind w:left="113" w:leftChars="54" w:right="113" w:firstLine="420" w:firstLineChars="200"/>
              <w:rPr>
                <w:rFonts w:ascii="宋体" w:hAnsi="宋体"/>
                <w:color w:val="auto"/>
                <w:szCs w:val="21"/>
                <w:highlight w:val="none"/>
              </w:rPr>
            </w:pPr>
            <w:r>
              <w:rPr>
                <w:rFonts w:hint="eastAsia" w:ascii="宋体" w:hAnsi="宋体"/>
                <w:color w:val="auto"/>
                <w:szCs w:val="21"/>
                <w:highlight w:val="none"/>
              </w:rPr>
              <w:t>技术建议书：</w:t>
            </w:r>
            <w:r>
              <w:rPr>
                <w:rFonts w:hint="eastAsia" w:ascii="宋体" w:hAnsi="宋体"/>
                <w:color w:val="auto"/>
                <w:szCs w:val="21"/>
                <w:highlight w:val="none"/>
                <w:u w:val="single"/>
              </w:rPr>
              <w:t xml:space="preserve"> 35  </w:t>
            </w:r>
            <w:r>
              <w:rPr>
                <w:rFonts w:hint="eastAsia" w:ascii="宋体" w:hAnsi="宋体"/>
                <w:color w:val="auto"/>
                <w:szCs w:val="21"/>
                <w:highlight w:val="none"/>
              </w:rPr>
              <w:t>分</w:t>
            </w:r>
          </w:p>
          <w:p w14:paraId="3247ABE2">
            <w:pPr>
              <w:spacing w:line="320" w:lineRule="exact"/>
              <w:ind w:left="113" w:leftChars="54" w:right="113" w:firstLine="420" w:firstLineChars="200"/>
              <w:rPr>
                <w:rFonts w:ascii="宋体" w:hAnsi="宋体"/>
                <w:color w:val="auto"/>
                <w:szCs w:val="21"/>
                <w:highlight w:val="none"/>
              </w:rPr>
            </w:pPr>
            <w:r>
              <w:rPr>
                <w:rFonts w:hint="eastAsia" w:ascii="宋体" w:hAnsi="宋体"/>
                <w:color w:val="auto"/>
                <w:szCs w:val="21"/>
                <w:highlight w:val="none"/>
              </w:rPr>
              <w:t>主要人员：</w:t>
            </w:r>
            <w:r>
              <w:rPr>
                <w:rFonts w:hint="eastAsia" w:ascii="宋体" w:hAnsi="宋体"/>
                <w:color w:val="auto"/>
                <w:szCs w:val="21"/>
                <w:highlight w:val="none"/>
                <w:u w:val="single"/>
              </w:rPr>
              <w:t xml:space="preserve">  25  </w:t>
            </w:r>
            <w:r>
              <w:rPr>
                <w:rFonts w:hint="eastAsia" w:ascii="宋体" w:hAnsi="宋体"/>
                <w:color w:val="auto"/>
                <w:szCs w:val="21"/>
                <w:highlight w:val="none"/>
              </w:rPr>
              <w:t>分</w:t>
            </w:r>
          </w:p>
          <w:p w14:paraId="3551C09D">
            <w:pPr>
              <w:spacing w:line="320" w:lineRule="exact"/>
              <w:ind w:left="113" w:leftChars="54" w:right="113" w:firstLine="420" w:firstLineChars="200"/>
              <w:rPr>
                <w:rFonts w:ascii="宋体" w:hAnsi="宋体"/>
                <w:color w:val="auto"/>
                <w:szCs w:val="21"/>
                <w:highlight w:val="none"/>
              </w:rPr>
            </w:pPr>
            <w:r>
              <w:rPr>
                <w:rFonts w:hint="eastAsia" w:ascii="宋体" w:hAnsi="宋体"/>
                <w:color w:val="auto"/>
                <w:szCs w:val="21"/>
                <w:highlight w:val="none"/>
              </w:rPr>
              <w:t>业绩：</w:t>
            </w:r>
            <w:r>
              <w:rPr>
                <w:rFonts w:hint="eastAsia" w:ascii="宋体" w:hAnsi="宋体"/>
                <w:color w:val="auto"/>
                <w:szCs w:val="21"/>
                <w:highlight w:val="none"/>
                <w:u w:val="single"/>
              </w:rPr>
              <w:t xml:space="preserve">  20  </w:t>
            </w:r>
            <w:r>
              <w:rPr>
                <w:rFonts w:hint="eastAsia" w:ascii="宋体" w:hAnsi="宋体"/>
                <w:color w:val="auto"/>
                <w:szCs w:val="21"/>
                <w:highlight w:val="none"/>
              </w:rPr>
              <w:t>分</w:t>
            </w:r>
          </w:p>
          <w:p w14:paraId="4ADC943C">
            <w:pPr>
              <w:spacing w:line="320" w:lineRule="exact"/>
              <w:ind w:left="113" w:leftChars="54" w:right="113" w:firstLine="420" w:firstLineChars="200"/>
              <w:rPr>
                <w:rFonts w:ascii="宋体" w:hAnsi="宋体"/>
                <w:color w:val="auto"/>
                <w:szCs w:val="21"/>
                <w:highlight w:val="none"/>
              </w:rPr>
            </w:pPr>
            <w:r>
              <w:rPr>
                <w:rFonts w:hint="eastAsia" w:ascii="宋体" w:hAnsi="宋体"/>
                <w:color w:val="auto"/>
                <w:szCs w:val="21"/>
                <w:highlight w:val="none"/>
              </w:rPr>
              <w:t>履约信誉：</w:t>
            </w:r>
            <w:r>
              <w:rPr>
                <w:rFonts w:hint="eastAsia" w:ascii="宋体" w:hAnsi="宋体"/>
                <w:color w:val="auto"/>
                <w:szCs w:val="21"/>
                <w:highlight w:val="none"/>
                <w:u w:val="single"/>
              </w:rPr>
              <w:t xml:space="preserve">  10  </w:t>
            </w:r>
            <w:r>
              <w:rPr>
                <w:rFonts w:hint="eastAsia" w:ascii="宋体" w:hAnsi="宋体"/>
                <w:color w:val="auto"/>
                <w:szCs w:val="21"/>
                <w:highlight w:val="none"/>
              </w:rPr>
              <w:t>分</w:t>
            </w:r>
          </w:p>
          <w:p w14:paraId="0A1E51BC">
            <w:pPr>
              <w:spacing w:line="320" w:lineRule="exact"/>
              <w:ind w:left="113" w:leftChars="54" w:right="113" w:firstLine="420" w:firstLineChars="199"/>
              <w:rPr>
                <w:rFonts w:ascii="宋体" w:hAnsi="宋体"/>
                <w:b/>
                <w:color w:val="auto"/>
                <w:szCs w:val="21"/>
                <w:highlight w:val="none"/>
              </w:rPr>
            </w:pPr>
            <w:r>
              <w:rPr>
                <w:rFonts w:hint="eastAsia" w:ascii="宋体" w:hAnsi="宋体"/>
                <w:b/>
                <w:color w:val="auto"/>
                <w:szCs w:val="21"/>
                <w:highlight w:val="none"/>
              </w:rPr>
              <w:t>第二个信封（报价文件）评分分值构成：</w:t>
            </w:r>
          </w:p>
          <w:p w14:paraId="32086825">
            <w:pPr>
              <w:spacing w:line="320" w:lineRule="exact"/>
              <w:ind w:left="113" w:leftChars="54" w:right="113" w:firstLine="420" w:firstLineChars="200"/>
              <w:rPr>
                <w:rFonts w:ascii="宋体" w:hAnsi="宋体"/>
                <w:color w:val="auto"/>
                <w:szCs w:val="21"/>
                <w:highlight w:val="none"/>
              </w:rPr>
            </w:pPr>
            <w:r>
              <w:rPr>
                <w:rFonts w:hint="eastAsia" w:ascii="宋体" w:hAnsi="宋体"/>
                <w:color w:val="auto"/>
                <w:szCs w:val="21"/>
                <w:highlight w:val="none"/>
              </w:rPr>
              <w:t>评标价：</w:t>
            </w:r>
            <w:r>
              <w:rPr>
                <w:rFonts w:hint="eastAsia" w:ascii="宋体" w:hAnsi="宋体"/>
                <w:color w:val="auto"/>
                <w:szCs w:val="21"/>
                <w:highlight w:val="none"/>
                <w:u w:val="single"/>
              </w:rPr>
              <w:t xml:space="preserve">  10  </w:t>
            </w:r>
            <w:r>
              <w:rPr>
                <w:rFonts w:hint="eastAsia" w:ascii="宋体" w:hAnsi="宋体"/>
                <w:color w:val="auto"/>
                <w:szCs w:val="21"/>
                <w:highlight w:val="none"/>
              </w:rPr>
              <w:t>分</w:t>
            </w:r>
          </w:p>
        </w:tc>
      </w:tr>
      <w:tr w14:paraId="03A6F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2" w:hRule="atLeast"/>
          <w:jc w:val="center"/>
        </w:trPr>
        <w:tc>
          <w:tcPr>
            <w:tcW w:w="869" w:type="dxa"/>
            <w:noWrap w:val="0"/>
            <w:vAlign w:val="center"/>
          </w:tcPr>
          <w:p w14:paraId="6A8C1A71">
            <w:pPr>
              <w:ind w:right="27"/>
              <w:jc w:val="center"/>
              <w:rPr>
                <w:rFonts w:ascii="宋体" w:hAnsi="宋体"/>
                <w:color w:val="auto"/>
                <w:szCs w:val="21"/>
                <w:highlight w:val="none"/>
              </w:rPr>
            </w:pPr>
            <w:r>
              <w:rPr>
                <w:rFonts w:hint="eastAsia" w:ascii="宋体" w:hAnsi="宋体"/>
                <w:color w:val="auto"/>
                <w:szCs w:val="21"/>
                <w:highlight w:val="none"/>
              </w:rPr>
              <w:t>2.2.2</w:t>
            </w:r>
          </w:p>
        </w:tc>
        <w:tc>
          <w:tcPr>
            <w:tcW w:w="2241" w:type="dxa"/>
            <w:noWrap w:val="0"/>
            <w:vAlign w:val="center"/>
          </w:tcPr>
          <w:p w14:paraId="222425F6">
            <w:pPr>
              <w:ind w:left="113" w:right="113"/>
              <w:jc w:val="center"/>
              <w:rPr>
                <w:rFonts w:ascii="宋体" w:hAnsi="宋体"/>
                <w:color w:val="auto"/>
                <w:szCs w:val="21"/>
                <w:highlight w:val="none"/>
              </w:rPr>
            </w:pPr>
            <w:r>
              <w:rPr>
                <w:rFonts w:hint="eastAsia" w:ascii="宋体" w:hAnsi="宋体"/>
                <w:color w:val="auto"/>
                <w:szCs w:val="21"/>
                <w:highlight w:val="none"/>
              </w:rPr>
              <w:t>评标基准价</w:t>
            </w:r>
          </w:p>
          <w:p w14:paraId="098AFB93">
            <w:pPr>
              <w:ind w:left="113" w:right="113"/>
              <w:jc w:val="center"/>
              <w:rPr>
                <w:rFonts w:ascii="宋体" w:hAnsi="宋体"/>
                <w:color w:val="auto"/>
                <w:szCs w:val="21"/>
                <w:highlight w:val="none"/>
              </w:rPr>
            </w:pPr>
            <w:r>
              <w:rPr>
                <w:rFonts w:hint="eastAsia" w:ascii="宋体" w:hAnsi="宋体"/>
                <w:color w:val="auto"/>
                <w:szCs w:val="21"/>
                <w:highlight w:val="none"/>
              </w:rPr>
              <w:t>计算方法</w:t>
            </w:r>
          </w:p>
        </w:tc>
        <w:tc>
          <w:tcPr>
            <w:tcW w:w="5942" w:type="dxa"/>
            <w:noWrap w:val="0"/>
            <w:vAlign w:val="center"/>
          </w:tcPr>
          <w:p w14:paraId="1DE70F45">
            <w:pPr>
              <w:ind w:left="113" w:leftChars="54" w:right="113" w:firstLine="420" w:firstLineChars="200"/>
              <w:rPr>
                <w:rFonts w:ascii="宋体" w:hAnsi="宋体"/>
                <w:color w:val="auto"/>
                <w:szCs w:val="21"/>
                <w:highlight w:val="none"/>
              </w:rPr>
            </w:pPr>
            <w:r>
              <w:rPr>
                <w:rFonts w:hint="eastAsia" w:ascii="宋体" w:hAnsi="宋体"/>
                <w:color w:val="auto"/>
                <w:szCs w:val="21"/>
                <w:highlight w:val="none"/>
              </w:rPr>
              <w:t>评标基准价的计算：</w:t>
            </w:r>
          </w:p>
          <w:p w14:paraId="0071B987">
            <w:pPr>
              <w:ind w:left="113" w:leftChars="54" w:right="113" w:firstLine="420" w:firstLineChars="200"/>
              <w:rPr>
                <w:rFonts w:ascii="宋体" w:hAnsi="宋体"/>
                <w:color w:val="auto"/>
                <w:szCs w:val="21"/>
                <w:highlight w:val="none"/>
              </w:rPr>
            </w:pPr>
            <w:r>
              <w:rPr>
                <w:rFonts w:hint="eastAsia" w:ascii="宋体" w:hAnsi="宋体"/>
                <w:color w:val="auto"/>
                <w:szCs w:val="21"/>
                <w:highlight w:val="none"/>
              </w:rPr>
              <w:t>在开标现场，招标人将当场计算并宣布评标基准价。</w:t>
            </w:r>
          </w:p>
          <w:p w14:paraId="5B6A8FF5">
            <w:pPr>
              <w:ind w:left="113" w:leftChars="54" w:right="113" w:firstLine="315" w:firstLineChars="150"/>
              <w:rPr>
                <w:rFonts w:ascii="宋体" w:hAnsi="宋体"/>
                <w:color w:val="auto"/>
                <w:szCs w:val="21"/>
                <w:highlight w:val="none"/>
              </w:rPr>
            </w:pPr>
            <w:r>
              <w:rPr>
                <w:rFonts w:hint="eastAsia" w:ascii="宋体" w:hAnsi="宋体"/>
                <w:color w:val="auto"/>
                <w:szCs w:val="21"/>
                <w:highlight w:val="none"/>
              </w:rPr>
              <w:t>（1）评标价的确定：</w:t>
            </w:r>
          </w:p>
          <w:p w14:paraId="627985F2">
            <w:pPr>
              <w:ind w:left="113" w:leftChars="54" w:right="113" w:firstLine="420" w:firstLineChars="200"/>
              <w:rPr>
                <w:rFonts w:ascii="宋体" w:hAnsi="宋体"/>
                <w:color w:val="auto"/>
                <w:szCs w:val="21"/>
                <w:highlight w:val="none"/>
              </w:rPr>
            </w:pPr>
            <w:r>
              <w:rPr>
                <w:rFonts w:hint="eastAsia" w:ascii="宋体" w:hAnsi="宋体"/>
                <w:color w:val="auto"/>
                <w:szCs w:val="21"/>
                <w:highlight w:val="none"/>
              </w:rPr>
              <w:t>评标价=投标函文字报价</w:t>
            </w:r>
          </w:p>
          <w:p w14:paraId="74DB8B60">
            <w:pPr>
              <w:ind w:left="113" w:leftChars="54" w:right="113" w:firstLine="315" w:firstLineChars="150"/>
              <w:rPr>
                <w:rFonts w:ascii="宋体" w:hAnsi="宋体"/>
                <w:color w:val="auto"/>
                <w:szCs w:val="21"/>
                <w:highlight w:val="none"/>
              </w:rPr>
            </w:pPr>
            <w:r>
              <w:rPr>
                <w:rFonts w:hint="eastAsia" w:ascii="宋体" w:hAnsi="宋体"/>
                <w:color w:val="auto"/>
                <w:szCs w:val="21"/>
                <w:highlight w:val="none"/>
              </w:rPr>
              <w:t>（2）评标价平均值的计算：</w:t>
            </w:r>
          </w:p>
          <w:p w14:paraId="1DB34473">
            <w:pPr>
              <w:ind w:left="113" w:leftChars="54" w:right="113" w:firstLine="420" w:firstLineChars="200"/>
              <w:rPr>
                <w:rFonts w:ascii="宋体" w:hAnsi="宋体"/>
                <w:color w:val="auto"/>
                <w:szCs w:val="21"/>
                <w:highlight w:val="none"/>
              </w:rPr>
            </w:pPr>
            <w:r>
              <w:rPr>
                <w:rFonts w:ascii="宋体" w:hAnsi="宋体"/>
                <w:color w:val="auto"/>
                <w:szCs w:val="21"/>
                <w:highlight w:val="none"/>
              </w:rPr>
              <w:t>除按第二章“投标人须知”第5.2.</w:t>
            </w:r>
            <w:r>
              <w:rPr>
                <w:rFonts w:hint="eastAsia" w:ascii="宋体" w:hAnsi="宋体"/>
                <w:color w:val="auto"/>
                <w:szCs w:val="21"/>
                <w:highlight w:val="none"/>
              </w:rPr>
              <w:t>4</w:t>
            </w:r>
            <w:r>
              <w:rPr>
                <w:rFonts w:ascii="宋体" w:hAnsi="宋体"/>
                <w:color w:val="auto"/>
                <w:szCs w:val="21"/>
                <w:highlight w:val="none"/>
              </w:rPr>
              <w:t>项规定开标现场被宣布为</w:t>
            </w:r>
            <w:r>
              <w:rPr>
                <w:rFonts w:hint="eastAsia" w:ascii="宋体" w:hAnsi="宋体"/>
                <w:color w:val="auto"/>
                <w:szCs w:val="21"/>
                <w:highlight w:val="none"/>
              </w:rPr>
              <w:t>不参与评标基准价计算</w:t>
            </w:r>
            <w:r>
              <w:rPr>
                <w:rFonts w:ascii="宋体" w:hAnsi="宋体"/>
                <w:color w:val="auto"/>
                <w:szCs w:val="21"/>
                <w:highlight w:val="none"/>
              </w:rPr>
              <w:t>的投标报价之外，</w:t>
            </w:r>
            <w:r>
              <w:rPr>
                <w:rFonts w:hint="eastAsia" w:ascii="宋体" w:hAnsi="宋体"/>
                <w:color w:val="auto"/>
                <w:szCs w:val="21"/>
                <w:highlight w:val="none"/>
              </w:rPr>
              <w:t>所有投标人的评标价去掉一个最高值和一个最低值后的算术平均值即为评标价平均值</w:t>
            </w:r>
            <w:r>
              <w:rPr>
                <w:rFonts w:hint="eastAsia" w:ascii="宋体" w:hAnsi="宋体" w:cs="宋体"/>
                <w:bCs/>
                <w:color w:val="auto"/>
                <w:szCs w:val="21"/>
                <w:highlight w:val="none"/>
              </w:rPr>
              <w:t>（</w:t>
            </w:r>
            <w:r>
              <w:rPr>
                <w:rFonts w:ascii="宋体" w:hAnsi="宋体" w:cs="宋体"/>
                <w:bCs/>
                <w:color w:val="auto"/>
                <w:szCs w:val="21"/>
                <w:highlight w:val="none"/>
              </w:rPr>
              <w:t>如</w:t>
            </w:r>
            <w:r>
              <w:rPr>
                <w:rFonts w:hint="eastAsia" w:ascii="宋体" w:hAnsi="宋体" w:cs="宋体"/>
                <w:bCs/>
                <w:color w:val="auto"/>
                <w:szCs w:val="21"/>
                <w:highlight w:val="none"/>
              </w:rPr>
              <w:t>果参与评标价平均值计算的有效投标人少于5家时</w:t>
            </w:r>
            <w:r>
              <w:rPr>
                <w:rFonts w:ascii="宋体" w:hAnsi="宋体" w:cs="宋体"/>
                <w:bCs/>
                <w:color w:val="auto"/>
                <w:szCs w:val="21"/>
                <w:highlight w:val="none"/>
              </w:rPr>
              <w:t>，则</w:t>
            </w:r>
            <w:r>
              <w:rPr>
                <w:rFonts w:hint="eastAsia" w:ascii="宋体" w:hAnsi="宋体" w:cs="宋体"/>
                <w:bCs/>
                <w:color w:val="auto"/>
                <w:szCs w:val="21"/>
                <w:highlight w:val="none"/>
              </w:rPr>
              <w:t>计算评标价平均值时</w:t>
            </w:r>
            <w:r>
              <w:rPr>
                <w:rFonts w:ascii="宋体" w:hAnsi="宋体" w:cs="宋体"/>
                <w:bCs/>
                <w:color w:val="auto"/>
                <w:szCs w:val="21"/>
                <w:highlight w:val="none"/>
              </w:rPr>
              <w:t>不去掉</w:t>
            </w:r>
            <w:r>
              <w:rPr>
                <w:rFonts w:hint="eastAsia" w:ascii="宋体" w:hAnsi="宋体" w:cs="宋体"/>
                <w:bCs/>
                <w:color w:val="auto"/>
                <w:szCs w:val="21"/>
                <w:highlight w:val="none"/>
              </w:rPr>
              <w:t>最高值和最低值</w:t>
            </w:r>
            <w:r>
              <w:rPr>
                <w:rFonts w:ascii="宋体" w:hAnsi="宋体" w:cs="宋体"/>
                <w:bCs/>
                <w:color w:val="auto"/>
                <w:szCs w:val="21"/>
                <w:highlight w:val="none"/>
              </w:rPr>
              <w:t>，直接计算范围内所有投标人</w:t>
            </w:r>
            <w:r>
              <w:rPr>
                <w:rFonts w:hint="eastAsia" w:ascii="宋体" w:hAnsi="宋体" w:cs="宋体"/>
                <w:bCs/>
                <w:color w:val="auto"/>
                <w:szCs w:val="21"/>
                <w:highlight w:val="none"/>
              </w:rPr>
              <w:t>评标价</w:t>
            </w:r>
            <w:r>
              <w:rPr>
                <w:rFonts w:ascii="宋体" w:hAnsi="宋体" w:cs="宋体"/>
                <w:bCs/>
                <w:color w:val="auto"/>
                <w:szCs w:val="21"/>
                <w:highlight w:val="none"/>
              </w:rPr>
              <w:t>的平均值</w:t>
            </w:r>
            <w:r>
              <w:rPr>
                <w:rFonts w:hint="eastAsia" w:ascii="宋体" w:hAnsi="宋体" w:cs="宋体"/>
                <w:bCs/>
                <w:color w:val="auto"/>
                <w:szCs w:val="21"/>
                <w:highlight w:val="none"/>
              </w:rPr>
              <w:t>；</w:t>
            </w:r>
            <w:r>
              <w:rPr>
                <w:rFonts w:ascii="宋体" w:hAnsi="宋体" w:cs="宋体"/>
                <w:bCs/>
                <w:color w:val="auto"/>
                <w:szCs w:val="21"/>
                <w:highlight w:val="none"/>
              </w:rPr>
              <w:t>如所有投标人的</w:t>
            </w:r>
            <w:r>
              <w:rPr>
                <w:rFonts w:hint="eastAsia" w:ascii="宋体" w:hAnsi="宋体" w:cs="宋体"/>
                <w:bCs/>
                <w:color w:val="auto"/>
                <w:szCs w:val="21"/>
                <w:highlight w:val="none"/>
              </w:rPr>
              <w:t>评标价</w:t>
            </w:r>
            <w:r>
              <w:rPr>
                <w:rFonts w:ascii="宋体" w:hAnsi="宋体" w:cs="宋体"/>
                <w:bCs/>
                <w:color w:val="auto"/>
                <w:szCs w:val="21"/>
                <w:highlight w:val="none"/>
              </w:rPr>
              <w:t>均未进入</w:t>
            </w:r>
            <w:r>
              <w:rPr>
                <w:rFonts w:hint="eastAsia" w:ascii="宋体" w:hAnsi="宋体"/>
                <w:color w:val="auto"/>
                <w:szCs w:val="21"/>
                <w:highlight w:val="none"/>
              </w:rPr>
              <w:t>评标价平均值的计算范围，则评标价平均值等于最高投标限价</w:t>
            </w:r>
            <w:r>
              <w:rPr>
                <w:rFonts w:hint="eastAsia" w:ascii="宋体" w:hAnsi="宋体" w:cs="宋体"/>
                <w:bCs/>
                <w:color w:val="auto"/>
                <w:szCs w:val="21"/>
                <w:highlight w:val="none"/>
              </w:rPr>
              <w:t>），评标价平均值的计算保留整数，小数点后第1位“四舍五入”。</w:t>
            </w:r>
          </w:p>
          <w:p w14:paraId="3CCB7F93">
            <w:pPr>
              <w:ind w:left="113" w:leftChars="54" w:right="113" w:firstLine="420" w:firstLineChars="200"/>
              <w:rPr>
                <w:rFonts w:ascii="宋体" w:hAnsi="宋体"/>
                <w:color w:val="auto"/>
                <w:szCs w:val="21"/>
                <w:highlight w:val="none"/>
              </w:rPr>
            </w:pPr>
            <w:r>
              <w:rPr>
                <w:rFonts w:hint="eastAsia" w:ascii="宋体" w:hAnsi="宋体"/>
                <w:color w:val="auto"/>
                <w:szCs w:val="21"/>
                <w:highlight w:val="none"/>
              </w:rPr>
              <w:t>（3）评标基准价的确定：</w:t>
            </w:r>
          </w:p>
          <w:p w14:paraId="65C0FECF">
            <w:pPr>
              <w:ind w:left="113" w:leftChars="54" w:right="113" w:firstLine="420" w:firstLineChars="200"/>
              <w:rPr>
                <w:rFonts w:ascii="宋体" w:hAnsi="宋体"/>
                <w:color w:val="auto"/>
                <w:szCs w:val="21"/>
                <w:highlight w:val="none"/>
              </w:rPr>
            </w:pPr>
            <w:r>
              <w:rPr>
                <w:rFonts w:hint="eastAsia" w:ascii="宋体" w:hAnsi="宋体"/>
                <w:color w:val="auto"/>
                <w:szCs w:val="21"/>
                <w:highlight w:val="none"/>
              </w:rPr>
              <w:t>将评标价平均值直接作为评标基准价。</w:t>
            </w:r>
          </w:p>
          <w:p w14:paraId="36DA42AB">
            <w:pPr>
              <w:spacing w:line="320" w:lineRule="exact"/>
              <w:ind w:left="113" w:leftChars="54" w:right="113" w:firstLine="417" w:firstLineChars="199"/>
              <w:rPr>
                <w:rFonts w:ascii="宋体" w:hAnsi="宋体"/>
                <w:color w:val="auto"/>
                <w:szCs w:val="21"/>
                <w:highlight w:val="none"/>
              </w:rPr>
            </w:pPr>
            <w:r>
              <w:rPr>
                <w:rFonts w:hint="eastAsia" w:ascii="宋体" w:hAnsi="宋体"/>
                <w:color w:val="auto"/>
                <w:szCs w:val="21"/>
                <w:highlight w:val="none"/>
              </w:rPr>
              <w:t>在评标过程中，评标委员会应对计算的评标基准价进行复核，存在计算错误的应予以修正并在评标报告中作出说明。除此之外，评标基准价在整个评标期间保持不变，不随任何因素发生变化。</w:t>
            </w:r>
          </w:p>
        </w:tc>
      </w:tr>
      <w:tr w14:paraId="5BCD8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869" w:type="dxa"/>
            <w:noWrap w:val="0"/>
            <w:vAlign w:val="center"/>
          </w:tcPr>
          <w:p w14:paraId="7329B33C">
            <w:pPr>
              <w:ind w:right="27"/>
              <w:jc w:val="center"/>
              <w:rPr>
                <w:rFonts w:ascii="宋体" w:hAnsi="宋体"/>
                <w:color w:val="auto"/>
                <w:szCs w:val="21"/>
                <w:highlight w:val="none"/>
              </w:rPr>
            </w:pPr>
            <w:r>
              <w:rPr>
                <w:rFonts w:hint="eastAsia" w:ascii="宋体" w:hAnsi="宋体"/>
                <w:color w:val="auto"/>
                <w:szCs w:val="21"/>
                <w:highlight w:val="none"/>
              </w:rPr>
              <w:t>2.2.3</w:t>
            </w:r>
          </w:p>
        </w:tc>
        <w:tc>
          <w:tcPr>
            <w:tcW w:w="2241" w:type="dxa"/>
            <w:noWrap w:val="0"/>
            <w:vAlign w:val="center"/>
          </w:tcPr>
          <w:p w14:paraId="7FD96BE1">
            <w:pPr>
              <w:ind w:left="113" w:right="113"/>
              <w:jc w:val="center"/>
              <w:rPr>
                <w:rFonts w:ascii="宋体" w:hAnsi="宋体"/>
                <w:color w:val="auto"/>
                <w:szCs w:val="21"/>
                <w:highlight w:val="none"/>
              </w:rPr>
            </w:pPr>
            <w:r>
              <w:rPr>
                <w:rFonts w:hint="eastAsia" w:ascii="宋体" w:hAnsi="宋体"/>
                <w:color w:val="auto"/>
                <w:szCs w:val="21"/>
                <w:highlight w:val="none"/>
              </w:rPr>
              <w:t>评标价的偏差率</w:t>
            </w:r>
          </w:p>
          <w:p w14:paraId="49B81B63">
            <w:pPr>
              <w:ind w:left="113" w:right="113"/>
              <w:jc w:val="center"/>
              <w:rPr>
                <w:rFonts w:ascii="宋体" w:hAnsi="宋体"/>
                <w:color w:val="auto"/>
                <w:szCs w:val="21"/>
                <w:highlight w:val="none"/>
              </w:rPr>
            </w:pPr>
            <w:r>
              <w:rPr>
                <w:rFonts w:hint="eastAsia" w:ascii="宋体" w:hAnsi="宋体"/>
                <w:color w:val="auto"/>
                <w:szCs w:val="21"/>
                <w:highlight w:val="none"/>
              </w:rPr>
              <w:t>计算公式</w:t>
            </w:r>
          </w:p>
        </w:tc>
        <w:tc>
          <w:tcPr>
            <w:tcW w:w="5942" w:type="dxa"/>
            <w:noWrap w:val="0"/>
            <w:vAlign w:val="center"/>
          </w:tcPr>
          <w:p w14:paraId="4A9A1EF2">
            <w:pPr>
              <w:ind w:firstLine="420" w:firstLineChars="200"/>
              <w:jc w:val="left"/>
              <w:rPr>
                <w:rFonts w:ascii="宋体" w:hAnsi="宋体"/>
                <w:color w:val="auto"/>
                <w:szCs w:val="21"/>
                <w:highlight w:val="none"/>
              </w:rPr>
            </w:pPr>
            <w:r>
              <w:rPr>
                <w:rFonts w:hint="eastAsia" w:ascii="宋体" w:hAnsi="宋体"/>
                <w:color w:val="auto"/>
                <w:szCs w:val="21"/>
                <w:highlight w:val="none"/>
              </w:rPr>
              <w:t>偏差率=100%×（投标人评标价-评标基准价）/评标基准价</w:t>
            </w:r>
          </w:p>
          <w:p w14:paraId="1CBF9F02">
            <w:pPr>
              <w:ind w:firstLine="420" w:firstLineChars="200"/>
              <w:jc w:val="left"/>
              <w:rPr>
                <w:rFonts w:ascii="宋体" w:hAnsi="宋体"/>
                <w:b/>
                <w:color w:val="auto"/>
                <w:szCs w:val="21"/>
                <w:highlight w:val="none"/>
              </w:rPr>
            </w:pPr>
            <w:r>
              <w:rPr>
                <w:rFonts w:hint="eastAsia" w:ascii="宋体" w:hAnsi="宋体"/>
                <w:color w:val="auto"/>
                <w:szCs w:val="21"/>
                <w:highlight w:val="none"/>
              </w:rPr>
              <w:t>偏差率保留2位小数</w:t>
            </w:r>
          </w:p>
        </w:tc>
      </w:tr>
      <w:tr w14:paraId="5B995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869" w:type="dxa"/>
            <w:noWrap w:val="0"/>
            <w:vAlign w:val="center"/>
          </w:tcPr>
          <w:p w14:paraId="7A28ABB3">
            <w:pPr>
              <w:ind w:right="27" w:right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3.6.1</w:t>
            </w:r>
          </w:p>
        </w:tc>
        <w:tc>
          <w:tcPr>
            <w:tcW w:w="2241" w:type="dxa"/>
            <w:noWrap w:val="0"/>
            <w:vAlign w:val="center"/>
          </w:tcPr>
          <w:p w14:paraId="09C45216">
            <w:pPr>
              <w:ind w:left="113" w:leftChars="0" w:right="113" w:right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信息查询</w:t>
            </w:r>
          </w:p>
        </w:tc>
        <w:tc>
          <w:tcPr>
            <w:tcW w:w="5942" w:type="dxa"/>
            <w:noWrap w:val="0"/>
            <w:vAlign w:val="center"/>
          </w:tcPr>
          <w:p w14:paraId="082A09A8">
            <w:pPr>
              <w:jc w:val="left"/>
              <w:rPr>
                <w:rFonts w:ascii="楷体" w:hAnsi="楷体" w:eastAsia="楷体" w:cs="Times New Roman"/>
                <w:color w:val="auto"/>
                <w:szCs w:val="21"/>
                <w:highlight w:val="none"/>
              </w:rPr>
            </w:pPr>
            <w:r>
              <w:rPr>
                <w:rFonts w:hint="eastAsia" w:ascii="楷体" w:hAnsi="楷体" w:eastAsia="楷体" w:cs="Times New Roman"/>
                <w:color w:val="auto"/>
                <w:szCs w:val="21"/>
                <w:highlight w:val="none"/>
              </w:rPr>
              <w:t>本款细化为：</w:t>
            </w:r>
          </w:p>
          <w:p w14:paraId="60156FCB">
            <w:pPr>
              <w:ind w:firstLine="420" w:firstLineChars="200"/>
              <w:jc w:val="left"/>
              <w:rPr>
                <w:rFonts w:hint="eastAsia" w:ascii="楷体" w:hAnsi="楷体" w:eastAsia="楷体" w:cs="Times New Roman"/>
                <w:color w:val="auto"/>
                <w:kern w:val="2"/>
                <w:sz w:val="21"/>
                <w:szCs w:val="21"/>
                <w:highlight w:val="none"/>
                <w:lang w:val="en-US" w:eastAsia="zh-CN" w:bidi="ar-SA"/>
              </w:rPr>
            </w:pPr>
            <w:r>
              <w:rPr>
                <w:rFonts w:hint="eastAsia" w:ascii="楷体" w:hAnsi="楷体" w:eastAsia="楷体" w:cs="Times New Roman"/>
                <w:color w:val="auto"/>
                <w:szCs w:val="21"/>
                <w:highlight w:val="none"/>
              </w:rPr>
              <w:t>3.6.1在评标过程中，评标委员会应查询交通运输主管部门“公路建设市场</w:t>
            </w:r>
            <w:r>
              <w:rPr>
                <w:rFonts w:hint="eastAsia" w:ascii="楷体" w:hAnsi="楷体" w:eastAsia="楷体" w:cs="Times New Roman"/>
                <w:color w:val="auto"/>
                <w:szCs w:val="21"/>
                <w:highlight w:val="none"/>
                <w:lang w:val="en-US" w:eastAsia="zh-CN"/>
              </w:rPr>
              <w:t>监督</w:t>
            </w:r>
            <w:r>
              <w:rPr>
                <w:rFonts w:hint="eastAsia" w:ascii="楷体" w:hAnsi="楷体" w:eastAsia="楷体" w:cs="Times New Roman"/>
                <w:color w:val="auto"/>
                <w:szCs w:val="21"/>
                <w:highlight w:val="none"/>
              </w:rPr>
              <w:t>管理系统”，对投标人的资质、信用等级等信息进行核实。若投标文件载明的信息与交通运输主管部门“公路建设市场</w:t>
            </w:r>
            <w:r>
              <w:rPr>
                <w:rFonts w:hint="eastAsia" w:ascii="楷体" w:hAnsi="楷体" w:eastAsia="楷体" w:cs="Times New Roman"/>
                <w:color w:val="auto"/>
                <w:szCs w:val="21"/>
                <w:highlight w:val="none"/>
                <w:lang w:val="en-US" w:eastAsia="zh-CN"/>
              </w:rPr>
              <w:t>监督</w:t>
            </w:r>
            <w:r>
              <w:rPr>
                <w:rFonts w:hint="eastAsia" w:ascii="楷体" w:hAnsi="楷体" w:eastAsia="楷体" w:cs="Times New Roman"/>
                <w:color w:val="auto"/>
                <w:szCs w:val="21"/>
                <w:highlight w:val="none"/>
              </w:rPr>
              <w:t>管理系统”发布的信息不符，使得投标人的资格条件不符合招标文件规定的，评标委员会应否决其投标。</w:t>
            </w:r>
          </w:p>
        </w:tc>
      </w:tr>
    </w:tbl>
    <w:p w14:paraId="58FFD676">
      <w:pPr>
        <w:jc w:val="left"/>
        <w:rPr>
          <w:rFonts w:ascii="黑体" w:hAnsi="黑体" w:eastAsia="黑体"/>
          <w:color w:val="auto"/>
          <w:sz w:val="28"/>
          <w:szCs w:val="28"/>
          <w:highlight w:val="none"/>
        </w:rPr>
      </w:pPr>
      <w:r>
        <w:rPr>
          <w:rFonts w:ascii="宋体" w:hAnsi="宋体"/>
          <w:color w:val="auto"/>
          <w:szCs w:val="21"/>
          <w:highlight w:val="none"/>
        </w:rPr>
        <w:br w:type="page"/>
      </w:r>
      <w:r>
        <w:rPr>
          <w:rFonts w:hint="eastAsia" w:ascii="黑体" w:hAnsi="黑体" w:eastAsia="黑体"/>
          <w:color w:val="auto"/>
          <w:sz w:val="28"/>
          <w:szCs w:val="28"/>
          <w:highlight w:val="none"/>
        </w:rPr>
        <w:t>评分标准：</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0"/>
        <w:gridCol w:w="645"/>
        <w:gridCol w:w="599"/>
        <w:gridCol w:w="1199"/>
        <w:gridCol w:w="1443"/>
        <w:gridCol w:w="905"/>
        <w:gridCol w:w="3461"/>
      </w:tblGrid>
      <w:tr w14:paraId="1AB91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tblHeader/>
          <w:jc w:val="center"/>
        </w:trPr>
        <w:tc>
          <w:tcPr>
            <w:tcW w:w="5731" w:type="dxa"/>
            <w:gridSpan w:val="6"/>
            <w:noWrap w:val="0"/>
            <w:vAlign w:val="center"/>
          </w:tcPr>
          <w:p w14:paraId="7A586E91">
            <w:pPr>
              <w:jc w:val="center"/>
              <w:rPr>
                <w:rFonts w:ascii="宋体" w:hAnsi="宋体"/>
                <w:b/>
                <w:color w:val="auto"/>
                <w:szCs w:val="21"/>
                <w:highlight w:val="none"/>
              </w:rPr>
            </w:pPr>
            <w:r>
              <w:rPr>
                <w:rFonts w:hint="eastAsia" w:ascii="宋体" w:hAnsi="宋体"/>
                <w:b/>
                <w:color w:val="auto"/>
                <w:szCs w:val="21"/>
                <w:highlight w:val="none"/>
              </w:rPr>
              <w:t>评分因素与权重分值</w:t>
            </w:r>
            <w:r>
              <w:rPr>
                <w:color w:val="auto"/>
                <w:szCs w:val="21"/>
                <w:highlight w:val="none"/>
                <w:vertAlign w:val="superscript"/>
              </w:rPr>
              <w:footnoteReference w:id="7"/>
            </w:r>
          </w:p>
        </w:tc>
        <w:tc>
          <w:tcPr>
            <w:tcW w:w="3461" w:type="dxa"/>
            <w:vMerge w:val="restart"/>
            <w:noWrap w:val="0"/>
            <w:vAlign w:val="center"/>
          </w:tcPr>
          <w:p w14:paraId="3D37E5BF">
            <w:pPr>
              <w:jc w:val="center"/>
              <w:rPr>
                <w:rFonts w:ascii="宋体" w:hAnsi="宋体"/>
                <w:b/>
                <w:color w:val="auto"/>
                <w:szCs w:val="21"/>
                <w:highlight w:val="none"/>
              </w:rPr>
            </w:pPr>
            <w:r>
              <w:rPr>
                <w:rFonts w:hint="eastAsia" w:ascii="宋体" w:hAnsi="宋体"/>
                <w:b/>
                <w:color w:val="auto"/>
                <w:szCs w:val="21"/>
                <w:highlight w:val="none"/>
              </w:rPr>
              <w:t>评分标准</w:t>
            </w:r>
          </w:p>
        </w:tc>
      </w:tr>
      <w:tr w14:paraId="3E957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40" w:type="dxa"/>
            <w:noWrap w:val="0"/>
            <w:vAlign w:val="center"/>
          </w:tcPr>
          <w:p w14:paraId="65E2FEBD">
            <w:pPr>
              <w:jc w:val="center"/>
              <w:rPr>
                <w:rFonts w:ascii="宋体" w:hAnsi="宋体"/>
                <w:b/>
                <w:color w:val="auto"/>
                <w:szCs w:val="21"/>
                <w:highlight w:val="none"/>
              </w:rPr>
            </w:pPr>
            <w:r>
              <w:rPr>
                <w:rFonts w:hint="eastAsia" w:ascii="宋体" w:hAnsi="宋体"/>
                <w:b/>
                <w:color w:val="auto"/>
                <w:szCs w:val="21"/>
                <w:highlight w:val="none"/>
              </w:rPr>
              <w:t>条款号</w:t>
            </w:r>
          </w:p>
        </w:tc>
        <w:tc>
          <w:tcPr>
            <w:tcW w:w="1244" w:type="dxa"/>
            <w:gridSpan w:val="2"/>
            <w:noWrap w:val="0"/>
            <w:vAlign w:val="center"/>
          </w:tcPr>
          <w:p w14:paraId="32E55B0E">
            <w:pPr>
              <w:jc w:val="center"/>
              <w:rPr>
                <w:rFonts w:ascii="宋体" w:hAnsi="宋体"/>
                <w:b/>
                <w:color w:val="auto"/>
                <w:szCs w:val="21"/>
                <w:highlight w:val="none"/>
              </w:rPr>
            </w:pPr>
            <w:r>
              <w:rPr>
                <w:rFonts w:hint="eastAsia" w:ascii="宋体" w:hAnsi="宋体"/>
                <w:b/>
                <w:color w:val="auto"/>
                <w:szCs w:val="21"/>
                <w:highlight w:val="none"/>
              </w:rPr>
              <w:t>评分因素</w:t>
            </w:r>
          </w:p>
        </w:tc>
        <w:tc>
          <w:tcPr>
            <w:tcW w:w="1199" w:type="dxa"/>
            <w:noWrap w:val="0"/>
            <w:vAlign w:val="center"/>
          </w:tcPr>
          <w:p w14:paraId="352A6597">
            <w:pPr>
              <w:jc w:val="center"/>
              <w:rPr>
                <w:rFonts w:ascii="宋体" w:hAnsi="宋体"/>
                <w:b/>
                <w:color w:val="auto"/>
                <w:szCs w:val="21"/>
                <w:highlight w:val="none"/>
              </w:rPr>
            </w:pPr>
            <w:r>
              <w:rPr>
                <w:rFonts w:hint="eastAsia" w:ascii="宋体" w:hAnsi="宋体"/>
                <w:b/>
                <w:color w:val="auto"/>
                <w:szCs w:val="21"/>
                <w:highlight w:val="none"/>
              </w:rPr>
              <w:t>评分因素</w:t>
            </w:r>
          </w:p>
          <w:p w14:paraId="6EFD6BC9">
            <w:pPr>
              <w:jc w:val="center"/>
              <w:rPr>
                <w:rFonts w:ascii="宋体" w:hAnsi="宋体"/>
                <w:b/>
                <w:color w:val="auto"/>
                <w:szCs w:val="21"/>
                <w:highlight w:val="none"/>
              </w:rPr>
            </w:pPr>
            <w:r>
              <w:rPr>
                <w:rFonts w:hint="eastAsia" w:ascii="宋体" w:hAnsi="宋体"/>
                <w:b/>
                <w:color w:val="auto"/>
                <w:szCs w:val="21"/>
                <w:highlight w:val="none"/>
              </w:rPr>
              <w:t>权重分值</w:t>
            </w:r>
          </w:p>
        </w:tc>
        <w:tc>
          <w:tcPr>
            <w:tcW w:w="1443" w:type="dxa"/>
            <w:noWrap w:val="0"/>
            <w:vAlign w:val="center"/>
          </w:tcPr>
          <w:p w14:paraId="7813B85D">
            <w:pPr>
              <w:jc w:val="center"/>
              <w:rPr>
                <w:rFonts w:ascii="宋体" w:hAnsi="宋体"/>
                <w:b/>
                <w:color w:val="auto"/>
                <w:szCs w:val="21"/>
                <w:highlight w:val="none"/>
              </w:rPr>
            </w:pPr>
            <w:r>
              <w:rPr>
                <w:rFonts w:hint="eastAsia" w:ascii="宋体" w:hAnsi="宋体"/>
                <w:b/>
                <w:color w:val="auto"/>
                <w:szCs w:val="21"/>
                <w:highlight w:val="none"/>
              </w:rPr>
              <w:t>各评分因素</w:t>
            </w:r>
          </w:p>
          <w:p w14:paraId="589F0A6E">
            <w:pPr>
              <w:jc w:val="center"/>
              <w:rPr>
                <w:rFonts w:ascii="宋体" w:hAnsi="宋体"/>
                <w:b/>
                <w:color w:val="auto"/>
                <w:szCs w:val="21"/>
                <w:highlight w:val="none"/>
              </w:rPr>
            </w:pPr>
            <w:r>
              <w:rPr>
                <w:rFonts w:hint="eastAsia" w:ascii="宋体" w:hAnsi="宋体"/>
                <w:b/>
                <w:color w:val="auto"/>
                <w:szCs w:val="21"/>
                <w:highlight w:val="none"/>
              </w:rPr>
              <w:t>细分项</w:t>
            </w:r>
          </w:p>
        </w:tc>
        <w:tc>
          <w:tcPr>
            <w:tcW w:w="905" w:type="dxa"/>
            <w:noWrap w:val="0"/>
            <w:vAlign w:val="center"/>
          </w:tcPr>
          <w:p w14:paraId="1935685E">
            <w:pPr>
              <w:jc w:val="center"/>
              <w:rPr>
                <w:rFonts w:ascii="宋体" w:hAnsi="宋体"/>
                <w:b/>
                <w:color w:val="auto"/>
                <w:szCs w:val="21"/>
                <w:highlight w:val="none"/>
              </w:rPr>
            </w:pPr>
            <w:r>
              <w:rPr>
                <w:rFonts w:hint="eastAsia" w:ascii="宋体" w:hAnsi="宋体"/>
                <w:b/>
                <w:color w:val="auto"/>
                <w:szCs w:val="21"/>
                <w:highlight w:val="none"/>
              </w:rPr>
              <w:t>分值</w:t>
            </w:r>
          </w:p>
        </w:tc>
        <w:tc>
          <w:tcPr>
            <w:tcW w:w="3461" w:type="dxa"/>
            <w:vMerge w:val="continue"/>
            <w:noWrap w:val="0"/>
            <w:vAlign w:val="center"/>
          </w:tcPr>
          <w:p w14:paraId="58A1AB13">
            <w:pPr>
              <w:jc w:val="center"/>
              <w:rPr>
                <w:rFonts w:ascii="宋体" w:hAnsi="宋体"/>
                <w:color w:val="auto"/>
                <w:szCs w:val="21"/>
                <w:highlight w:val="none"/>
              </w:rPr>
            </w:pPr>
          </w:p>
        </w:tc>
      </w:tr>
      <w:tr w14:paraId="38B06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9" w:hRule="exact"/>
          <w:jc w:val="center"/>
        </w:trPr>
        <w:tc>
          <w:tcPr>
            <w:tcW w:w="940" w:type="dxa"/>
            <w:vMerge w:val="restart"/>
            <w:noWrap w:val="0"/>
            <w:vAlign w:val="center"/>
          </w:tcPr>
          <w:p w14:paraId="210F760C">
            <w:pPr>
              <w:jc w:val="center"/>
              <w:rPr>
                <w:rFonts w:ascii="宋体" w:hAnsi="宋体"/>
                <w:color w:val="auto"/>
                <w:szCs w:val="21"/>
                <w:highlight w:val="none"/>
              </w:rPr>
            </w:pPr>
            <w:r>
              <w:rPr>
                <w:rFonts w:hint="eastAsia" w:ascii="宋体" w:hAnsi="宋体"/>
                <w:color w:val="auto"/>
                <w:szCs w:val="21"/>
                <w:highlight w:val="none"/>
              </w:rPr>
              <w:t>2.2.4（1）</w:t>
            </w:r>
          </w:p>
        </w:tc>
        <w:tc>
          <w:tcPr>
            <w:tcW w:w="1244" w:type="dxa"/>
            <w:gridSpan w:val="2"/>
            <w:vMerge w:val="restart"/>
            <w:noWrap w:val="0"/>
            <w:vAlign w:val="center"/>
          </w:tcPr>
          <w:p w14:paraId="3093FAFC">
            <w:pPr>
              <w:jc w:val="center"/>
              <w:rPr>
                <w:rFonts w:ascii="宋体" w:hAnsi="宋体"/>
                <w:color w:val="auto"/>
                <w:szCs w:val="21"/>
                <w:highlight w:val="none"/>
              </w:rPr>
            </w:pPr>
            <w:r>
              <w:rPr>
                <w:rFonts w:hint="eastAsia" w:ascii="宋体" w:hAnsi="宋体"/>
                <w:color w:val="auto"/>
                <w:szCs w:val="21"/>
                <w:highlight w:val="none"/>
              </w:rPr>
              <w:t>技术建议书</w:t>
            </w:r>
          </w:p>
        </w:tc>
        <w:tc>
          <w:tcPr>
            <w:tcW w:w="1199" w:type="dxa"/>
            <w:vMerge w:val="restart"/>
            <w:noWrap w:val="0"/>
            <w:vAlign w:val="center"/>
          </w:tcPr>
          <w:p w14:paraId="7A758B5D">
            <w:pPr>
              <w:jc w:val="center"/>
              <w:rPr>
                <w:rFonts w:ascii="宋体" w:hAnsi="宋体"/>
                <w:color w:val="auto"/>
                <w:szCs w:val="21"/>
                <w:highlight w:val="none"/>
              </w:rPr>
            </w:pPr>
            <w:r>
              <w:rPr>
                <w:rFonts w:hint="eastAsia" w:ascii="宋体" w:hAnsi="宋体"/>
                <w:color w:val="auto"/>
                <w:szCs w:val="21"/>
                <w:highlight w:val="none"/>
                <w:u w:val="single"/>
              </w:rPr>
              <w:t xml:space="preserve"> 35 </w:t>
            </w:r>
            <w:r>
              <w:rPr>
                <w:rFonts w:hint="eastAsia" w:ascii="宋体" w:hAnsi="宋体"/>
                <w:color w:val="auto"/>
                <w:szCs w:val="21"/>
                <w:highlight w:val="none"/>
              </w:rPr>
              <w:t>分</w:t>
            </w:r>
          </w:p>
        </w:tc>
        <w:tc>
          <w:tcPr>
            <w:tcW w:w="1443" w:type="dxa"/>
            <w:noWrap w:val="0"/>
            <w:vAlign w:val="center"/>
          </w:tcPr>
          <w:p w14:paraId="264E61B9">
            <w:pPr>
              <w:ind w:right="113" w:rightChars="0"/>
              <w:rPr>
                <w:rFonts w:ascii="宋体" w:hAnsi="宋体"/>
                <w:color w:val="auto"/>
                <w:szCs w:val="21"/>
                <w:highlight w:val="none"/>
              </w:rPr>
            </w:pPr>
            <w:r>
              <w:rPr>
                <w:rFonts w:hint="eastAsia" w:ascii="宋体" w:hAnsi="宋体"/>
                <w:color w:val="auto"/>
                <w:szCs w:val="21"/>
                <w:highlight w:val="none"/>
              </w:rPr>
              <w:t>监理大纲（或监理方案）和措施</w:t>
            </w:r>
          </w:p>
        </w:tc>
        <w:tc>
          <w:tcPr>
            <w:tcW w:w="905" w:type="dxa"/>
            <w:noWrap w:val="0"/>
            <w:vAlign w:val="center"/>
          </w:tcPr>
          <w:p w14:paraId="4E7707FD">
            <w:pPr>
              <w:jc w:val="center"/>
              <w:rPr>
                <w:rFonts w:ascii="宋体" w:hAnsi="宋体"/>
                <w:color w:val="auto"/>
                <w:szCs w:val="21"/>
                <w:highlight w:val="none"/>
              </w:rPr>
            </w:pPr>
            <w:r>
              <w:rPr>
                <w:rFonts w:hint="eastAsia" w:ascii="宋体" w:hAnsi="宋体"/>
                <w:color w:val="auto"/>
                <w:szCs w:val="21"/>
                <w:highlight w:val="none"/>
                <w:u w:val="single"/>
              </w:rPr>
              <w:t>25</w:t>
            </w:r>
            <w:r>
              <w:rPr>
                <w:rFonts w:hint="eastAsia" w:ascii="宋体" w:hAnsi="宋体"/>
                <w:color w:val="auto"/>
                <w:szCs w:val="21"/>
                <w:highlight w:val="none"/>
              </w:rPr>
              <w:t>分</w:t>
            </w:r>
          </w:p>
        </w:tc>
        <w:tc>
          <w:tcPr>
            <w:tcW w:w="3461" w:type="dxa"/>
            <w:noWrap w:val="0"/>
            <w:vAlign w:val="center"/>
          </w:tcPr>
          <w:p w14:paraId="612C51C5">
            <w:pPr>
              <w:jc w:val="center"/>
              <w:rPr>
                <w:rFonts w:hint="eastAsia" w:ascii="宋体" w:hAnsi="宋体"/>
                <w:color w:val="auto"/>
                <w:szCs w:val="21"/>
                <w:highlight w:val="none"/>
              </w:rPr>
            </w:pPr>
            <w:r>
              <w:rPr>
                <w:rFonts w:hint="eastAsia" w:ascii="宋体" w:hAnsi="宋体"/>
                <w:color w:val="auto"/>
                <w:szCs w:val="21"/>
                <w:highlight w:val="none"/>
              </w:rPr>
              <w:t>一般：15分</w:t>
            </w:r>
          </w:p>
          <w:p w14:paraId="5A5F09E5">
            <w:pPr>
              <w:jc w:val="center"/>
              <w:rPr>
                <w:rFonts w:hint="eastAsia" w:ascii="宋体" w:hAnsi="宋体"/>
                <w:color w:val="auto"/>
                <w:szCs w:val="21"/>
                <w:highlight w:val="none"/>
              </w:rPr>
            </w:pPr>
            <w:r>
              <w:rPr>
                <w:rFonts w:hint="eastAsia" w:ascii="宋体" w:hAnsi="宋体"/>
                <w:color w:val="auto"/>
                <w:szCs w:val="21"/>
                <w:highlight w:val="none"/>
              </w:rPr>
              <w:t>较好：15-20分</w:t>
            </w:r>
          </w:p>
          <w:p w14:paraId="275135D1">
            <w:pPr>
              <w:jc w:val="center"/>
              <w:rPr>
                <w:rFonts w:hint="eastAsia" w:ascii="宋体" w:hAnsi="宋体"/>
                <w:color w:val="auto"/>
                <w:szCs w:val="21"/>
                <w:highlight w:val="none"/>
              </w:rPr>
            </w:pPr>
            <w:r>
              <w:rPr>
                <w:rFonts w:hint="eastAsia" w:ascii="宋体" w:hAnsi="宋体"/>
                <w:color w:val="auto"/>
                <w:szCs w:val="21"/>
                <w:highlight w:val="none"/>
              </w:rPr>
              <w:t>满意：20-25分</w:t>
            </w:r>
          </w:p>
          <w:p w14:paraId="1A2589C2">
            <w:pPr>
              <w:jc w:val="center"/>
              <w:rPr>
                <w:rFonts w:ascii="宋体" w:hAnsi="宋体"/>
                <w:color w:val="auto"/>
                <w:szCs w:val="21"/>
                <w:highlight w:val="none"/>
              </w:rPr>
            </w:pPr>
          </w:p>
        </w:tc>
      </w:tr>
      <w:tr w14:paraId="032B7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940" w:type="dxa"/>
            <w:vMerge w:val="continue"/>
            <w:noWrap w:val="0"/>
            <w:vAlign w:val="center"/>
          </w:tcPr>
          <w:p w14:paraId="18D9BF34">
            <w:pPr>
              <w:jc w:val="center"/>
              <w:rPr>
                <w:rFonts w:ascii="宋体" w:hAnsi="宋体"/>
                <w:color w:val="auto"/>
                <w:szCs w:val="21"/>
                <w:highlight w:val="none"/>
              </w:rPr>
            </w:pPr>
          </w:p>
        </w:tc>
        <w:tc>
          <w:tcPr>
            <w:tcW w:w="1244" w:type="dxa"/>
            <w:gridSpan w:val="2"/>
            <w:vMerge w:val="continue"/>
            <w:noWrap w:val="0"/>
            <w:vAlign w:val="center"/>
          </w:tcPr>
          <w:p w14:paraId="7903291E">
            <w:pPr>
              <w:jc w:val="center"/>
              <w:rPr>
                <w:rFonts w:ascii="宋体" w:hAnsi="宋体"/>
                <w:color w:val="auto"/>
                <w:szCs w:val="21"/>
                <w:highlight w:val="none"/>
              </w:rPr>
            </w:pPr>
          </w:p>
        </w:tc>
        <w:tc>
          <w:tcPr>
            <w:tcW w:w="1199" w:type="dxa"/>
            <w:vMerge w:val="continue"/>
            <w:noWrap w:val="0"/>
            <w:vAlign w:val="center"/>
          </w:tcPr>
          <w:p w14:paraId="28EE4458">
            <w:pPr>
              <w:jc w:val="center"/>
              <w:rPr>
                <w:rFonts w:ascii="宋体" w:hAnsi="宋体"/>
                <w:color w:val="auto"/>
                <w:szCs w:val="21"/>
                <w:highlight w:val="none"/>
              </w:rPr>
            </w:pPr>
          </w:p>
        </w:tc>
        <w:tc>
          <w:tcPr>
            <w:tcW w:w="1443" w:type="dxa"/>
            <w:noWrap w:val="0"/>
            <w:vAlign w:val="center"/>
          </w:tcPr>
          <w:p w14:paraId="77B7107A">
            <w:pPr>
              <w:ind w:right="-46" w:rightChars="0"/>
              <w:rPr>
                <w:rFonts w:ascii="宋体" w:hAnsi="宋体"/>
                <w:color w:val="auto"/>
                <w:szCs w:val="21"/>
                <w:highlight w:val="none"/>
              </w:rPr>
            </w:pPr>
            <w:r>
              <w:rPr>
                <w:rFonts w:hint="eastAsia" w:ascii="宋体" w:hAnsi="宋体"/>
                <w:color w:val="auto"/>
                <w:szCs w:val="21"/>
                <w:highlight w:val="none"/>
              </w:rPr>
              <w:t>本工程监理工作的重点与难点分析</w:t>
            </w:r>
          </w:p>
        </w:tc>
        <w:tc>
          <w:tcPr>
            <w:tcW w:w="905" w:type="dxa"/>
            <w:noWrap w:val="0"/>
            <w:vAlign w:val="center"/>
          </w:tcPr>
          <w:p w14:paraId="2DDAC962">
            <w:pPr>
              <w:jc w:val="center"/>
              <w:rPr>
                <w:rFonts w:ascii="宋体" w:hAnsi="宋体"/>
                <w:color w:val="auto"/>
                <w:szCs w:val="22"/>
                <w:highlight w:val="none"/>
              </w:rPr>
            </w:pPr>
            <w:r>
              <w:rPr>
                <w:rFonts w:hint="eastAsia" w:ascii="宋体" w:hAnsi="宋体"/>
                <w:color w:val="auto"/>
                <w:szCs w:val="21"/>
                <w:highlight w:val="none"/>
                <w:u w:val="single"/>
              </w:rPr>
              <w:t xml:space="preserve"> 5</w:t>
            </w:r>
            <w:r>
              <w:rPr>
                <w:rFonts w:hint="eastAsia" w:ascii="宋体" w:hAnsi="宋体"/>
                <w:color w:val="auto"/>
                <w:szCs w:val="21"/>
                <w:highlight w:val="none"/>
              </w:rPr>
              <w:t>分</w:t>
            </w:r>
          </w:p>
        </w:tc>
        <w:tc>
          <w:tcPr>
            <w:tcW w:w="3461" w:type="dxa"/>
            <w:noWrap w:val="0"/>
            <w:vAlign w:val="center"/>
          </w:tcPr>
          <w:p w14:paraId="266C156C">
            <w:pPr>
              <w:jc w:val="center"/>
              <w:rPr>
                <w:rFonts w:hint="eastAsia" w:ascii="宋体" w:hAnsi="宋体"/>
                <w:color w:val="auto"/>
                <w:szCs w:val="21"/>
                <w:highlight w:val="none"/>
              </w:rPr>
            </w:pPr>
            <w:r>
              <w:rPr>
                <w:rFonts w:hint="eastAsia" w:ascii="宋体" w:hAnsi="宋体"/>
                <w:color w:val="auto"/>
                <w:szCs w:val="21"/>
                <w:highlight w:val="none"/>
              </w:rPr>
              <w:t>一般：3分</w:t>
            </w:r>
          </w:p>
          <w:p w14:paraId="51E028D5">
            <w:pPr>
              <w:jc w:val="center"/>
              <w:rPr>
                <w:rFonts w:hint="eastAsia" w:ascii="宋体" w:hAnsi="宋体"/>
                <w:color w:val="auto"/>
                <w:szCs w:val="21"/>
                <w:highlight w:val="none"/>
              </w:rPr>
            </w:pPr>
            <w:r>
              <w:rPr>
                <w:rFonts w:hint="eastAsia" w:ascii="宋体" w:hAnsi="宋体"/>
                <w:color w:val="auto"/>
                <w:szCs w:val="21"/>
                <w:highlight w:val="none"/>
              </w:rPr>
              <w:t>较好：3-4分</w:t>
            </w:r>
          </w:p>
          <w:p w14:paraId="669D75F4">
            <w:pPr>
              <w:jc w:val="center"/>
              <w:rPr>
                <w:rFonts w:ascii="宋体" w:hAnsi="宋体"/>
                <w:color w:val="auto"/>
                <w:szCs w:val="21"/>
                <w:highlight w:val="none"/>
              </w:rPr>
            </w:pPr>
            <w:r>
              <w:rPr>
                <w:rFonts w:hint="eastAsia" w:ascii="宋体" w:hAnsi="宋体"/>
                <w:color w:val="auto"/>
                <w:szCs w:val="21"/>
                <w:highlight w:val="none"/>
              </w:rPr>
              <w:t>满意：4-5分</w:t>
            </w:r>
          </w:p>
        </w:tc>
      </w:tr>
      <w:tr w14:paraId="55D17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7" w:hRule="exact"/>
          <w:jc w:val="center"/>
        </w:trPr>
        <w:tc>
          <w:tcPr>
            <w:tcW w:w="940" w:type="dxa"/>
            <w:vMerge w:val="continue"/>
            <w:noWrap w:val="0"/>
            <w:vAlign w:val="center"/>
          </w:tcPr>
          <w:p w14:paraId="57D4E52B">
            <w:pPr>
              <w:jc w:val="center"/>
              <w:rPr>
                <w:rFonts w:ascii="宋体" w:hAnsi="宋体"/>
                <w:color w:val="auto"/>
                <w:szCs w:val="21"/>
                <w:highlight w:val="none"/>
              </w:rPr>
            </w:pPr>
          </w:p>
        </w:tc>
        <w:tc>
          <w:tcPr>
            <w:tcW w:w="1244" w:type="dxa"/>
            <w:gridSpan w:val="2"/>
            <w:vMerge w:val="continue"/>
            <w:noWrap w:val="0"/>
            <w:vAlign w:val="center"/>
          </w:tcPr>
          <w:p w14:paraId="5F472B44">
            <w:pPr>
              <w:jc w:val="center"/>
              <w:rPr>
                <w:rFonts w:ascii="宋体" w:hAnsi="宋体"/>
                <w:color w:val="auto"/>
                <w:szCs w:val="21"/>
                <w:highlight w:val="none"/>
              </w:rPr>
            </w:pPr>
          </w:p>
        </w:tc>
        <w:tc>
          <w:tcPr>
            <w:tcW w:w="1199" w:type="dxa"/>
            <w:vMerge w:val="continue"/>
            <w:noWrap w:val="0"/>
            <w:vAlign w:val="center"/>
          </w:tcPr>
          <w:p w14:paraId="16D3EC72">
            <w:pPr>
              <w:jc w:val="center"/>
              <w:rPr>
                <w:rFonts w:ascii="宋体" w:hAnsi="宋体"/>
                <w:color w:val="auto"/>
                <w:szCs w:val="21"/>
                <w:highlight w:val="none"/>
              </w:rPr>
            </w:pPr>
          </w:p>
        </w:tc>
        <w:tc>
          <w:tcPr>
            <w:tcW w:w="1443" w:type="dxa"/>
            <w:noWrap w:val="0"/>
            <w:vAlign w:val="center"/>
          </w:tcPr>
          <w:p w14:paraId="0EE3647A">
            <w:pPr>
              <w:ind w:right="113" w:rightChars="0"/>
              <w:rPr>
                <w:rFonts w:ascii="宋体" w:hAnsi="宋体"/>
                <w:color w:val="auto"/>
                <w:szCs w:val="21"/>
                <w:highlight w:val="none"/>
              </w:rPr>
            </w:pPr>
            <w:r>
              <w:rPr>
                <w:rFonts w:hint="eastAsia" w:ascii="宋体" w:hAnsi="宋体"/>
                <w:color w:val="auto"/>
                <w:szCs w:val="21"/>
                <w:highlight w:val="none"/>
              </w:rPr>
              <w:t>对本工程的建议</w:t>
            </w:r>
          </w:p>
        </w:tc>
        <w:tc>
          <w:tcPr>
            <w:tcW w:w="905" w:type="dxa"/>
            <w:noWrap w:val="0"/>
            <w:vAlign w:val="center"/>
          </w:tcPr>
          <w:p w14:paraId="59155568">
            <w:pPr>
              <w:jc w:val="center"/>
              <w:rPr>
                <w:rFonts w:ascii="宋体" w:hAnsi="宋体"/>
                <w:color w:val="auto"/>
                <w:szCs w:val="22"/>
                <w:highlight w:val="none"/>
              </w:rPr>
            </w:pPr>
            <w:r>
              <w:rPr>
                <w:rFonts w:hint="eastAsia" w:ascii="宋体" w:hAnsi="宋体"/>
                <w:color w:val="auto"/>
                <w:szCs w:val="21"/>
                <w:highlight w:val="none"/>
                <w:u w:val="single"/>
              </w:rPr>
              <w:t xml:space="preserve"> 5</w:t>
            </w:r>
            <w:r>
              <w:rPr>
                <w:rFonts w:hint="eastAsia" w:ascii="宋体" w:hAnsi="宋体"/>
                <w:color w:val="auto"/>
                <w:szCs w:val="21"/>
                <w:highlight w:val="none"/>
              </w:rPr>
              <w:t>分</w:t>
            </w:r>
          </w:p>
        </w:tc>
        <w:tc>
          <w:tcPr>
            <w:tcW w:w="3461" w:type="dxa"/>
            <w:noWrap w:val="0"/>
            <w:vAlign w:val="center"/>
          </w:tcPr>
          <w:p w14:paraId="30C9F957">
            <w:pPr>
              <w:jc w:val="center"/>
              <w:rPr>
                <w:rFonts w:hint="eastAsia" w:ascii="宋体" w:hAnsi="宋体"/>
                <w:color w:val="auto"/>
                <w:szCs w:val="21"/>
                <w:highlight w:val="none"/>
              </w:rPr>
            </w:pPr>
            <w:r>
              <w:rPr>
                <w:rFonts w:hint="eastAsia" w:ascii="宋体" w:hAnsi="宋体"/>
                <w:color w:val="auto"/>
                <w:szCs w:val="21"/>
                <w:highlight w:val="none"/>
              </w:rPr>
              <w:t>一般：3分</w:t>
            </w:r>
          </w:p>
          <w:p w14:paraId="5C4B5C8A">
            <w:pPr>
              <w:jc w:val="center"/>
              <w:rPr>
                <w:rFonts w:hint="eastAsia" w:ascii="宋体" w:hAnsi="宋体"/>
                <w:color w:val="auto"/>
                <w:szCs w:val="21"/>
                <w:highlight w:val="none"/>
              </w:rPr>
            </w:pPr>
            <w:r>
              <w:rPr>
                <w:rFonts w:hint="eastAsia" w:ascii="宋体" w:hAnsi="宋体"/>
                <w:color w:val="auto"/>
                <w:szCs w:val="21"/>
                <w:highlight w:val="none"/>
              </w:rPr>
              <w:t>较好：3-4分</w:t>
            </w:r>
          </w:p>
          <w:p w14:paraId="366DED94">
            <w:pPr>
              <w:jc w:val="center"/>
              <w:rPr>
                <w:rFonts w:ascii="宋体" w:hAnsi="宋体"/>
                <w:color w:val="auto"/>
                <w:szCs w:val="21"/>
                <w:highlight w:val="none"/>
              </w:rPr>
            </w:pPr>
            <w:r>
              <w:rPr>
                <w:rFonts w:hint="eastAsia" w:ascii="宋体" w:hAnsi="宋体"/>
                <w:color w:val="auto"/>
                <w:szCs w:val="21"/>
                <w:highlight w:val="none"/>
              </w:rPr>
              <w:t>满意：4-5分</w:t>
            </w:r>
          </w:p>
        </w:tc>
      </w:tr>
      <w:tr w14:paraId="3CC4B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52" w:hRule="exact"/>
          <w:jc w:val="center"/>
        </w:trPr>
        <w:tc>
          <w:tcPr>
            <w:tcW w:w="940" w:type="dxa"/>
            <w:noWrap w:val="0"/>
            <w:vAlign w:val="center"/>
          </w:tcPr>
          <w:p w14:paraId="2210C678">
            <w:pPr>
              <w:jc w:val="center"/>
              <w:rPr>
                <w:rFonts w:ascii="宋体" w:hAnsi="宋体"/>
                <w:color w:val="auto"/>
                <w:szCs w:val="21"/>
                <w:highlight w:val="none"/>
              </w:rPr>
            </w:pPr>
            <w:r>
              <w:rPr>
                <w:rFonts w:hint="eastAsia" w:ascii="宋体" w:hAnsi="宋体"/>
                <w:color w:val="auto"/>
                <w:szCs w:val="21"/>
                <w:highlight w:val="none"/>
              </w:rPr>
              <w:t>2.2.4（2）</w:t>
            </w:r>
          </w:p>
        </w:tc>
        <w:tc>
          <w:tcPr>
            <w:tcW w:w="1244" w:type="dxa"/>
            <w:gridSpan w:val="2"/>
            <w:noWrap w:val="0"/>
            <w:vAlign w:val="center"/>
          </w:tcPr>
          <w:p w14:paraId="68D23EB1">
            <w:pPr>
              <w:jc w:val="center"/>
              <w:rPr>
                <w:rFonts w:ascii="宋体" w:hAnsi="宋体"/>
                <w:color w:val="auto"/>
                <w:szCs w:val="21"/>
                <w:highlight w:val="none"/>
              </w:rPr>
            </w:pPr>
            <w:r>
              <w:rPr>
                <w:rFonts w:hint="eastAsia" w:ascii="宋体" w:hAnsi="宋体"/>
                <w:color w:val="auto"/>
                <w:szCs w:val="21"/>
                <w:highlight w:val="none"/>
              </w:rPr>
              <w:t>主要人员</w:t>
            </w:r>
          </w:p>
        </w:tc>
        <w:tc>
          <w:tcPr>
            <w:tcW w:w="1199" w:type="dxa"/>
            <w:noWrap w:val="0"/>
            <w:vAlign w:val="center"/>
          </w:tcPr>
          <w:p w14:paraId="7DF7554C">
            <w:pPr>
              <w:jc w:val="center"/>
              <w:rPr>
                <w:rFonts w:ascii="宋体" w:hAnsi="宋体"/>
                <w:color w:val="auto"/>
                <w:szCs w:val="21"/>
                <w:highlight w:val="none"/>
              </w:rPr>
            </w:pPr>
            <w:r>
              <w:rPr>
                <w:rFonts w:hint="eastAsia" w:ascii="宋体" w:hAnsi="宋体"/>
                <w:color w:val="auto"/>
                <w:szCs w:val="21"/>
                <w:highlight w:val="none"/>
              </w:rPr>
              <w:t>25分</w:t>
            </w:r>
          </w:p>
        </w:tc>
        <w:tc>
          <w:tcPr>
            <w:tcW w:w="1443" w:type="dxa"/>
            <w:noWrap w:val="0"/>
            <w:vAlign w:val="center"/>
          </w:tcPr>
          <w:p w14:paraId="6BAC50F1">
            <w:pPr>
              <w:ind w:right="113"/>
              <w:jc w:val="center"/>
              <w:rPr>
                <w:rFonts w:ascii="宋体" w:hAnsi="宋体"/>
                <w:color w:val="auto"/>
                <w:szCs w:val="21"/>
                <w:highlight w:val="none"/>
              </w:rPr>
            </w:pPr>
            <w:r>
              <w:rPr>
                <w:rFonts w:hint="eastAsia" w:ascii="宋体" w:hAnsi="宋体"/>
                <w:color w:val="auto"/>
                <w:szCs w:val="21"/>
                <w:highlight w:val="none"/>
              </w:rPr>
              <w:t>总监理工程师任职资格与业绩</w:t>
            </w:r>
          </w:p>
        </w:tc>
        <w:tc>
          <w:tcPr>
            <w:tcW w:w="905" w:type="dxa"/>
            <w:noWrap w:val="0"/>
            <w:vAlign w:val="center"/>
          </w:tcPr>
          <w:p w14:paraId="00ED4E7E">
            <w:pPr>
              <w:jc w:val="center"/>
              <w:rPr>
                <w:rFonts w:ascii="宋体" w:hAnsi="宋体"/>
                <w:color w:val="auto"/>
                <w:szCs w:val="21"/>
                <w:highlight w:val="none"/>
              </w:rPr>
            </w:pPr>
            <w:r>
              <w:rPr>
                <w:rFonts w:hint="eastAsia" w:ascii="宋体" w:hAnsi="宋体"/>
                <w:color w:val="auto"/>
                <w:szCs w:val="21"/>
                <w:highlight w:val="none"/>
              </w:rPr>
              <w:t>25分</w:t>
            </w:r>
          </w:p>
        </w:tc>
        <w:tc>
          <w:tcPr>
            <w:tcW w:w="3461" w:type="dxa"/>
            <w:noWrap w:val="0"/>
            <w:vAlign w:val="center"/>
          </w:tcPr>
          <w:p w14:paraId="1DBDBCFA">
            <w:pPr>
              <w:ind w:left="-2" w:leftChars="-1" w:right="-29" w:rightChars="-14" w:firstLine="6" w:firstLineChars="3"/>
              <w:rPr>
                <w:rFonts w:ascii="宋体" w:hAnsi="宋体"/>
                <w:color w:val="auto"/>
                <w:szCs w:val="21"/>
                <w:highlight w:val="none"/>
              </w:rPr>
            </w:pPr>
            <w:r>
              <w:rPr>
                <w:rFonts w:hint="eastAsia" w:ascii="宋体" w:hAnsi="宋体"/>
                <w:color w:val="auto"/>
                <w:highlight w:val="none"/>
              </w:rPr>
              <w:t>满足资格审查条件得</w:t>
            </w:r>
            <w:r>
              <w:rPr>
                <w:rFonts w:hint="eastAsia" w:ascii="宋体" w:hAnsi="宋体"/>
                <w:color w:val="auto"/>
                <w:szCs w:val="21"/>
                <w:highlight w:val="none"/>
              </w:rPr>
              <w:t>15分，</w:t>
            </w:r>
          </w:p>
          <w:p w14:paraId="62829C7D">
            <w:pPr>
              <w:jc w:val="left"/>
              <w:rPr>
                <w:rFonts w:ascii="宋体" w:hAnsi="宋体"/>
                <w:color w:val="auto"/>
                <w:szCs w:val="21"/>
                <w:highlight w:val="none"/>
              </w:rPr>
            </w:pPr>
            <w:r>
              <w:rPr>
                <w:rFonts w:hint="eastAsia" w:ascii="宋体" w:hAnsi="宋体"/>
                <w:color w:val="auto"/>
                <w:highlight w:val="none"/>
              </w:rPr>
              <w:t>每增加</w:t>
            </w:r>
            <w:r>
              <w:rPr>
                <w:rFonts w:hint="eastAsia" w:ascii="宋体" w:hAnsi="宋体"/>
                <w:color w:val="auto"/>
                <w:szCs w:val="21"/>
                <w:highlight w:val="none"/>
              </w:rPr>
              <w:t>1项</w:t>
            </w:r>
            <w:r>
              <w:rPr>
                <w:rFonts w:hint="eastAsia" w:ascii="宋体" w:hAnsi="宋体"/>
                <w:color w:val="auto"/>
                <w:szCs w:val="21"/>
                <w:highlight w:val="none"/>
                <w:lang w:val="en-US" w:eastAsia="zh-CN"/>
              </w:rPr>
              <w:t>四</w:t>
            </w:r>
            <w:r>
              <w:rPr>
                <w:rFonts w:hint="eastAsia" w:ascii="宋体" w:hAnsi="宋体"/>
                <w:color w:val="auto"/>
                <w:szCs w:val="21"/>
                <w:highlight w:val="none"/>
              </w:rPr>
              <w:t>级</w:t>
            </w:r>
            <w:r>
              <w:rPr>
                <w:rFonts w:hint="eastAsia" w:ascii="宋体" w:hAnsi="宋体"/>
                <w:color w:val="auto"/>
                <w:szCs w:val="21"/>
                <w:highlight w:val="none"/>
                <w:lang w:val="en-US" w:eastAsia="zh-CN"/>
              </w:rPr>
              <w:t>或四级</w:t>
            </w:r>
            <w:r>
              <w:rPr>
                <w:rFonts w:hint="eastAsia" w:ascii="宋体" w:hAnsi="宋体"/>
                <w:color w:val="auto"/>
                <w:szCs w:val="21"/>
                <w:highlight w:val="none"/>
              </w:rPr>
              <w:t>以上公路的总监理工程师</w:t>
            </w:r>
            <w:r>
              <w:rPr>
                <w:rFonts w:hint="eastAsia" w:ascii="宋体" w:hAnsi="宋体"/>
                <w:color w:val="auto"/>
                <w:szCs w:val="21"/>
                <w:highlight w:val="none"/>
                <w:lang w:eastAsia="zh-CN"/>
              </w:rPr>
              <w:t>或驻地监理工程师</w:t>
            </w:r>
            <w:r>
              <w:rPr>
                <w:rFonts w:hint="eastAsia" w:ascii="宋体" w:hAnsi="宋体"/>
                <w:color w:val="auto"/>
                <w:szCs w:val="21"/>
                <w:highlight w:val="none"/>
              </w:rPr>
              <w:t>任职经历加</w:t>
            </w:r>
            <w:r>
              <w:rPr>
                <w:rFonts w:hint="eastAsia" w:ascii="宋体" w:hAnsi="宋体"/>
                <w:color w:val="auto"/>
                <w:szCs w:val="21"/>
                <w:highlight w:val="none"/>
                <w:lang w:val="en-US" w:eastAsia="zh-CN"/>
              </w:rPr>
              <w:t>10</w:t>
            </w:r>
            <w:r>
              <w:rPr>
                <w:rFonts w:hint="eastAsia" w:ascii="宋体" w:hAnsi="宋体"/>
                <w:color w:val="auto"/>
                <w:szCs w:val="21"/>
                <w:highlight w:val="none"/>
              </w:rPr>
              <w:t>分，最多加10分。</w:t>
            </w:r>
          </w:p>
        </w:tc>
      </w:tr>
      <w:tr w14:paraId="41132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2" w:hRule="exact"/>
          <w:jc w:val="center"/>
        </w:trPr>
        <w:tc>
          <w:tcPr>
            <w:tcW w:w="940" w:type="dxa"/>
            <w:noWrap w:val="0"/>
            <w:vAlign w:val="center"/>
          </w:tcPr>
          <w:p w14:paraId="307C4CB9">
            <w:pPr>
              <w:jc w:val="center"/>
              <w:rPr>
                <w:rFonts w:ascii="宋体" w:hAnsi="宋体"/>
                <w:color w:val="auto"/>
                <w:szCs w:val="21"/>
                <w:highlight w:val="none"/>
              </w:rPr>
            </w:pPr>
            <w:r>
              <w:rPr>
                <w:rFonts w:hint="eastAsia" w:ascii="宋体" w:hAnsi="宋体"/>
                <w:color w:val="auto"/>
                <w:szCs w:val="21"/>
                <w:highlight w:val="none"/>
              </w:rPr>
              <w:t>2.2.4（3）</w:t>
            </w:r>
          </w:p>
        </w:tc>
        <w:tc>
          <w:tcPr>
            <w:tcW w:w="1244" w:type="dxa"/>
            <w:gridSpan w:val="2"/>
            <w:noWrap w:val="0"/>
            <w:vAlign w:val="center"/>
          </w:tcPr>
          <w:p w14:paraId="1FA75F03">
            <w:pPr>
              <w:jc w:val="center"/>
              <w:rPr>
                <w:rFonts w:ascii="宋体" w:hAnsi="宋体"/>
                <w:color w:val="auto"/>
                <w:szCs w:val="21"/>
                <w:highlight w:val="none"/>
              </w:rPr>
            </w:pPr>
            <w:r>
              <w:rPr>
                <w:rFonts w:hint="eastAsia" w:ascii="宋体" w:hAnsi="宋体"/>
                <w:color w:val="auto"/>
                <w:szCs w:val="21"/>
                <w:highlight w:val="none"/>
              </w:rPr>
              <w:t>评标价</w:t>
            </w:r>
          </w:p>
        </w:tc>
        <w:tc>
          <w:tcPr>
            <w:tcW w:w="1199" w:type="dxa"/>
            <w:noWrap w:val="0"/>
            <w:vAlign w:val="center"/>
          </w:tcPr>
          <w:p w14:paraId="2B695592">
            <w:pPr>
              <w:jc w:val="center"/>
              <w:rPr>
                <w:rFonts w:ascii="宋体" w:hAnsi="宋体"/>
                <w:color w:val="auto"/>
                <w:szCs w:val="21"/>
                <w:highlight w:val="none"/>
              </w:rPr>
            </w:pPr>
            <w:r>
              <w:rPr>
                <w:rFonts w:hint="eastAsia" w:ascii="宋体" w:hAnsi="宋体"/>
                <w:color w:val="auto"/>
                <w:szCs w:val="21"/>
                <w:highlight w:val="none"/>
              </w:rPr>
              <w:t>10分</w:t>
            </w:r>
          </w:p>
        </w:tc>
        <w:tc>
          <w:tcPr>
            <w:tcW w:w="5809" w:type="dxa"/>
            <w:gridSpan w:val="3"/>
            <w:noWrap w:val="0"/>
            <w:vAlign w:val="center"/>
          </w:tcPr>
          <w:p w14:paraId="7F37590F">
            <w:pPr>
              <w:ind w:right="113"/>
              <w:rPr>
                <w:rFonts w:ascii="宋体" w:hAnsi="宋体"/>
                <w:color w:val="auto"/>
                <w:szCs w:val="21"/>
                <w:highlight w:val="none"/>
              </w:rPr>
            </w:pPr>
            <w:r>
              <w:rPr>
                <w:rFonts w:hint="eastAsia" w:ascii="宋体" w:hAnsi="宋体"/>
                <w:color w:val="auto"/>
                <w:szCs w:val="21"/>
                <w:highlight w:val="none"/>
              </w:rPr>
              <w:t>评标价得分计算公式示例：</w:t>
            </w:r>
          </w:p>
          <w:p w14:paraId="3AFAE884">
            <w:pPr>
              <w:ind w:right="113"/>
              <w:rPr>
                <w:rFonts w:ascii="宋体" w:hAnsi="宋体"/>
                <w:color w:val="auto"/>
                <w:szCs w:val="21"/>
                <w:highlight w:val="none"/>
              </w:rPr>
            </w:pPr>
            <w:r>
              <w:rPr>
                <w:rFonts w:hint="eastAsia" w:ascii="宋体" w:hAnsi="宋体"/>
                <w:color w:val="auto"/>
                <w:szCs w:val="21"/>
                <w:highlight w:val="none"/>
              </w:rPr>
              <w:t>（1）如果投标人的评标价&gt;评标基准价，则评标价得分＝F－偏差率×100×E1；</w:t>
            </w:r>
          </w:p>
          <w:p w14:paraId="3EB9DE5A">
            <w:pPr>
              <w:ind w:right="113"/>
              <w:rPr>
                <w:rFonts w:ascii="宋体" w:hAnsi="宋体"/>
                <w:color w:val="auto"/>
                <w:szCs w:val="21"/>
                <w:highlight w:val="none"/>
              </w:rPr>
            </w:pPr>
            <w:r>
              <w:rPr>
                <w:rFonts w:hint="eastAsia" w:ascii="宋体" w:hAnsi="宋体"/>
                <w:color w:val="auto"/>
                <w:szCs w:val="21"/>
                <w:highlight w:val="none"/>
              </w:rPr>
              <w:t>（2）如果投标人的评标价≤评标基准价，则评标价得分＝F＋偏差率×100×E2。</w:t>
            </w:r>
          </w:p>
          <w:p w14:paraId="4EC3D7E3">
            <w:pPr>
              <w:ind w:right="113"/>
              <w:rPr>
                <w:rFonts w:ascii="宋体" w:hAnsi="宋体"/>
                <w:color w:val="auto"/>
                <w:szCs w:val="21"/>
                <w:highlight w:val="none"/>
              </w:rPr>
            </w:pPr>
            <w:r>
              <w:rPr>
                <w:rFonts w:hint="eastAsia" w:ascii="宋体" w:hAnsi="宋体"/>
                <w:color w:val="auto"/>
                <w:szCs w:val="21"/>
                <w:highlight w:val="none"/>
              </w:rPr>
              <w:t>式中：F=10，E1=</w:t>
            </w:r>
            <w:r>
              <w:rPr>
                <w:rFonts w:hint="eastAsia" w:ascii="宋体" w:hAnsi="宋体"/>
                <w:color w:val="auto"/>
                <w:szCs w:val="21"/>
                <w:highlight w:val="none"/>
                <w:lang w:val="en-US" w:eastAsia="zh-CN"/>
              </w:rPr>
              <w:t>0.2</w:t>
            </w:r>
            <w:r>
              <w:rPr>
                <w:rFonts w:hint="eastAsia" w:ascii="宋体" w:hAnsi="宋体"/>
                <w:color w:val="auto"/>
                <w:szCs w:val="21"/>
                <w:highlight w:val="none"/>
              </w:rPr>
              <w:t>，E2=</w:t>
            </w:r>
            <w:r>
              <w:rPr>
                <w:rFonts w:hint="eastAsia" w:ascii="宋体" w:hAnsi="宋体"/>
                <w:color w:val="auto"/>
                <w:szCs w:val="21"/>
                <w:highlight w:val="none"/>
                <w:lang w:val="en-US" w:eastAsia="zh-CN"/>
              </w:rPr>
              <w:t>0.1</w:t>
            </w:r>
            <w:r>
              <w:rPr>
                <w:rFonts w:hint="eastAsia" w:ascii="宋体" w:hAnsi="宋体"/>
                <w:color w:val="auto"/>
                <w:szCs w:val="21"/>
                <w:highlight w:val="none"/>
              </w:rPr>
              <w:t>。</w:t>
            </w:r>
          </w:p>
          <w:p w14:paraId="350009A7">
            <w:pPr>
              <w:ind w:firstLine="420" w:firstLineChars="200"/>
              <w:jc w:val="left"/>
              <w:rPr>
                <w:rFonts w:ascii="宋体" w:hAnsi="宋体"/>
                <w:color w:val="auto"/>
                <w:szCs w:val="21"/>
                <w:highlight w:val="none"/>
              </w:rPr>
            </w:pPr>
            <w:r>
              <w:rPr>
                <w:rFonts w:hint="eastAsia" w:ascii="宋体" w:hAnsi="宋体"/>
                <w:color w:val="auto"/>
                <w:szCs w:val="21"/>
                <w:highlight w:val="none"/>
              </w:rPr>
              <w:t>其中：F是评标价所占的权重分值，E1是评标价每高于评标基准价一个百分点的扣分值，E2是评标价每低于评标基准价一个百分点的扣分值评标价得分保留两位小数，小数点后第三位“四舍五入”。</w:t>
            </w:r>
          </w:p>
        </w:tc>
      </w:tr>
      <w:tr w14:paraId="38FD7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4" w:hRule="atLeast"/>
          <w:jc w:val="center"/>
        </w:trPr>
        <w:tc>
          <w:tcPr>
            <w:tcW w:w="940" w:type="dxa"/>
            <w:vMerge w:val="restart"/>
            <w:noWrap w:val="0"/>
            <w:vAlign w:val="center"/>
          </w:tcPr>
          <w:p w14:paraId="3EFFD120">
            <w:pPr>
              <w:jc w:val="center"/>
              <w:rPr>
                <w:rFonts w:ascii="宋体" w:hAnsi="宋体"/>
                <w:color w:val="auto"/>
                <w:szCs w:val="21"/>
                <w:highlight w:val="none"/>
              </w:rPr>
            </w:pPr>
            <w:r>
              <w:rPr>
                <w:rFonts w:hint="eastAsia" w:ascii="宋体" w:hAnsi="宋体"/>
                <w:color w:val="auto"/>
                <w:szCs w:val="21"/>
                <w:highlight w:val="none"/>
              </w:rPr>
              <w:t>2.2.4（4）</w:t>
            </w:r>
          </w:p>
        </w:tc>
        <w:tc>
          <w:tcPr>
            <w:tcW w:w="645" w:type="dxa"/>
            <w:vMerge w:val="restart"/>
            <w:noWrap w:val="0"/>
            <w:vAlign w:val="center"/>
          </w:tcPr>
          <w:p w14:paraId="0B7434A6">
            <w:pPr>
              <w:jc w:val="center"/>
              <w:rPr>
                <w:rFonts w:ascii="宋体" w:hAnsi="宋体"/>
                <w:color w:val="auto"/>
                <w:szCs w:val="21"/>
                <w:highlight w:val="none"/>
              </w:rPr>
            </w:pPr>
            <w:r>
              <w:rPr>
                <w:rFonts w:hint="eastAsia" w:ascii="宋体" w:hAnsi="宋体"/>
                <w:color w:val="auto"/>
                <w:szCs w:val="21"/>
                <w:highlight w:val="none"/>
              </w:rPr>
              <w:t>其他因素</w:t>
            </w:r>
          </w:p>
        </w:tc>
        <w:tc>
          <w:tcPr>
            <w:tcW w:w="599" w:type="dxa"/>
            <w:noWrap w:val="0"/>
            <w:vAlign w:val="center"/>
          </w:tcPr>
          <w:p w14:paraId="3AA5083A">
            <w:pPr>
              <w:jc w:val="center"/>
              <w:rPr>
                <w:rFonts w:ascii="宋体" w:hAnsi="宋体"/>
                <w:color w:val="auto"/>
                <w:szCs w:val="21"/>
                <w:highlight w:val="none"/>
              </w:rPr>
            </w:pPr>
            <w:r>
              <w:rPr>
                <w:rFonts w:hint="eastAsia" w:ascii="宋体" w:hAnsi="宋体"/>
                <w:color w:val="auto"/>
                <w:szCs w:val="21"/>
                <w:highlight w:val="none"/>
              </w:rPr>
              <w:t>业绩</w:t>
            </w:r>
          </w:p>
        </w:tc>
        <w:tc>
          <w:tcPr>
            <w:tcW w:w="1199" w:type="dxa"/>
            <w:noWrap w:val="0"/>
            <w:vAlign w:val="center"/>
          </w:tcPr>
          <w:p w14:paraId="409F791E">
            <w:pPr>
              <w:jc w:val="center"/>
              <w:rPr>
                <w:rFonts w:ascii="宋体" w:hAnsi="宋体"/>
                <w:color w:val="auto"/>
                <w:szCs w:val="21"/>
                <w:highlight w:val="none"/>
              </w:rPr>
            </w:pPr>
            <w:r>
              <w:rPr>
                <w:rFonts w:hint="eastAsia" w:ascii="宋体" w:hAnsi="宋体"/>
                <w:color w:val="auto"/>
                <w:szCs w:val="21"/>
                <w:highlight w:val="none"/>
              </w:rPr>
              <w:t>20分</w:t>
            </w:r>
          </w:p>
        </w:tc>
        <w:tc>
          <w:tcPr>
            <w:tcW w:w="1443" w:type="dxa"/>
            <w:noWrap w:val="0"/>
            <w:vAlign w:val="center"/>
          </w:tcPr>
          <w:p w14:paraId="3C2CB08F">
            <w:pPr>
              <w:ind w:right="113"/>
              <w:jc w:val="center"/>
              <w:rPr>
                <w:rFonts w:ascii="宋体" w:hAnsi="宋体"/>
                <w:color w:val="auto"/>
                <w:szCs w:val="21"/>
                <w:highlight w:val="none"/>
              </w:rPr>
            </w:pPr>
            <w:r>
              <w:rPr>
                <w:rFonts w:hint="eastAsia" w:ascii="宋体" w:hAnsi="宋体"/>
                <w:color w:val="auto"/>
                <w:spacing w:val="9"/>
                <w:kern w:val="0"/>
                <w:szCs w:val="21"/>
                <w:highlight w:val="none"/>
                <w:lang w:eastAsia="zh-CN"/>
              </w:rPr>
              <w:t>监理</w:t>
            </w:r>
            <w:r>
              <w:rPr>
                <w:rFonts w:hint="eastAsia" w:ascii="宋体" w:hAnsi="宋体"/>
                <w:color w:val="auto"/>
                <w:spacing w:val="9"/>
                <w:kern w:val="0"/>
                <w:szCs w:val="21"/>
                <w:highlight w:val="none"/>
              </w:rPr>
              <w:t>业绩</w:t>
            </w:r>
          </w:p>
        </w:tc>
        <w:tc>
          <w:tcPr>
            <w:tcW w:w="905" w:type="dxa"/>
            <w:noWrap w:val="0"/>
            <w:vAlign w:val="center"/>
          </w:tcPr>
          <w:p w14:paraId="513413E0">
            <w:pPr>
              <w:jc w:val="center"/>
              <w:rPr>
                <w:rFonts w:ascii="宋体" w:hAnsi="宋体"/>
                <w:color w:val="auto"/>
                <w:szCs w:val="21"/>
                <w:highlight w:val="none"/>
              </w:rPr>
            </w:pPr>
            <w:r>
              <w:rPr>
                <w:rFonts w:hint="eastAsia" w:ascii="宋体" w:hAnsi="宋体"/>
                <w:color w:val="auto"/>
                <w:szCs w:val="21"/>
                <w:highlight w:val="none"/>
              </w:rPr>
              <w:t>20分</w:t>
            </w:r>
          </w:p>
        </w:tc>
        <w:tc>
          <w:tcPr>
            <w:tcW w:w="3461" w:type="dxa"/>
            <w:noWrap w:val="0"/>
            <w:vAlign w:val="center"/>
          </w:tcPr>
          <w:p w14:paraId="637E0032">
            <w:pPr>
              <w:pStyle w:val="19"/>
              <w:rPr>
                <w:color w:val="auto"/>
                <w:highlight w:val="none"/>
              </w:rPr>
            </w:pPr>
            <w:r>
              <w:rPr>
                <w:rFonts w:hint="eastAsia" w:ascii="宋体" w:hAnsi="宋体" w:eastAsia="宋体" w:cs="Times New Roman"/>
                <w:color w:val="auto"/>
                <w:kern w:val="0"/>
                <w:sz w:val="21"/>
                <w:szCs w:val="21"/>
                <w:highlight w:val="none"/>
              </w:rPr>
              <w:t>满足最低资格审查条件得</w:t>
            </w:r>
            <w:r>
              <w:rPr>
                <w:rFonts w:hint="eastAsia" w:ascii="宋体" w:hAnsi="宋体" w:eastAsia="宋体" w:cs="Times New Roman"/>
                <w:color w:val="auto"/>
                <w:kern w:val="0"/>
                <w:sz w:val="21"/>
                <w:szCs w:val="21"/>
                <w:highlight w:val="none"/>
                <w:lang w:val="en-US" w:eastAsia="zh-CN"/>
              </w:rPr>
              <w:t>12</w:t>
            </w:r>
            <w:r>
              <w:rPr>
                <w:rFonts w:hint="eastAsia" w:ascii="宋体" w:hAnsi="宋体" w:eastAsia="宋体" w:cs="Times New Roman"/>
                <w:color w:val="auto"/>
                <w:kern w:val="0"/>
                <w:sz w:val="21"/>
                <w:szCs w:val="21"/>
                <w:highlight w:val="none"/>
              </w:rPr>
              <w:t>分</w:t>
            </w:r>
            <w:r>
              <w:rPr>
                <w:rFonts w:hint="eastAsia" w:ascii="宋体" w:hAnsi="宋体" w:eastAsia="宋体" w:cs="Times New Roman"/>
                <w:color w:val="auto"/>
                <w:kern w:val="0"/>
                <w:sz w:val="21"/>
                <w:szCs w:val="21"/>
                <w:highlight w:val="none"/>
                <w:lang w:eastAsia="zh-CN"/>
              </w:rPr>
              <w:t>，</w:t>
            </w:r>
            <w:r>
              <w:rPr>
                <w:rFonts w:hint="eastAsia" w:ascii="宋体" w:hAnsi="宋体" w:eastAsia="宋体" w:cs="宋体"/>
                <w:i w:val="0"/>
                <w:iCs w:val="0"/>
                <w:caps w:val="0"/>
                <w:color w:val="000000"/>
                <w:spacing w:val="0"/>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每增加一项四</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val="en-US" w:eastAsia="zh-CN"/>
              </w:rPr>
              <w:t>或四级</w:t>
            </w:r>
            <w:r>
              <w:rPr>
                <w:rFonts w:hint="eastAsia" w:ascii="宋体" w:hAnsi="宋体" w:eastAsia="宋体" w:cs="宋体"/>
                <w:color w:val="auto"/>
                <w:sz w:val="21"/>
                <w:szCs w:val="21"/>
                <w:highlight w:val="none"/>
              </w:rPr>
              <w:t>以上公路工程项目施工监理业绩</w:t>
            </w:r>
            <w:r>
              <w:rPr>
                <w:rFonts w:hint="eastAsia" w:ascii="宋体" w:hAnsi="宋体" w:eastAsia="宋体" w:cs="宋体"/>
                <w:color w:val="auto"/>
                <w:sz w:val="21"/>
                <w:szCs w:val="21"/>
                <w:highlight w:val="none"/>
                <w:lang w:val="en-US" w:eastAsia="zh-CN"/>
              </w:rPr>
              <w:t>加4分，最多加8分。</w:t>
            </w:r>
          </w:p>
        </w:tc>
      </w:tr>
      <w:tr w14:paraId="066D2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41" w:hRule="exact"/>
          <w:jc w:val="center"/>
        </w:trPr>
        <w:tc>
          <w:tcPr>
            <w:tcW w:w="940" w:type="dxa"/>
            <w:vMerge w:val="continue"/>
            <w:noWrap w:val="0"/>
            <w:vAlign w:val="center"/>
          </w:tcPr>
          <w:p w14:paraId="1677DC8A">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 xml:space="preserve"> </w:t>
            </w:r>
            <w:r>
              <w:rPr>
                <w:rFonts w:hint="eastAsia" w:ascii="宋体" w:hAnsi="宋体"/>
                <w:color w:val="auto"/>
                <w:szCs w:val="21"/>
                <w:highlight w:val="none"/>
                <w:lang w:val="en-US" w:eastAsia="zh-CN"/>
              </w:rPr>
              <w:t xml:space="preserve">                                                                                         </w:t>
            </w:r>
          </w:p>
        </w:tc>
        <w:tc>
          <w:tcPr>
            <w:tcW w:w="645" w:type="dxa"/>
            <w:vMerge w:val="continue"/>
            <w:noWrap w:val="0"/>
            <w:vAlign w:val="center"/>
          </w:tcPr>
          <w:p w14:paraId="4E30429B">
            <w:pPr>
              <w:jc w:val="center"/>
              <w:rPr>
                <w:rFonts w:ascii="宋体" w:hAnsi="宋体"/>
                <w:color w:val="auto"/>
                <w:szCs w:val="21"/>
                <w:highlight w:val="none"/>
              </w:rPr>
            </w:pPr>
          </w:p>
        </w:tc>
        <w:tc>
          <w:tcPr>
            <w:tcW w:w="599" w:type="dxa"/>
            <w:noWrap w:val="0"/>
            <w:vAlign w:val="center"/>
          </w:tcPr>
          <w:p w14:paraId="2CC9236A">
            <w:pPr>
              <w:jc w:val="center"/>
              <w:rPr>
                <w:rFonts w:ascii="宋体" w:hAnsi="宋体"/>
                <w:color w:val="auto"/>
                <w:szCs w:val="21"/>
                <w:highlight w:val="none"/>
              </w:rPr>
            </w:pPr>
            <w:r>
              <w:rPr>
                <w:rFonts w:hint="eastAsia" w:ascii="宋体" w:hAnsi="宋体"/>
                <w:color w:val="auto"/>
                <w:szCs w:val="21"/>
                <w:highlight w:val="none"/>
              </w:rPr>
              <w:t>履约信誉</w:t>
            </w:r>
          </w:p>
        </w:tc>
        <w:tc>
          <w:tcPr>
            <w:tcW w:w="1199" w:type="dxa"/>
            <w:noWrap w:val="0"/>
            <w:vAlign w:val="center"/>
          </w:tcPr>
          <w:p w14:paraId="6217BAC3">
            <w:pPr>
              <w:jc w:val="center"/>
              <w:rPr>
                <w:rFonts w:ascii="宋体" w:hAnsi="宋体"/>
                <w:color w:val="auto"/>
                <w:szCs w:val="21"/>
                <w:highlight w:val="none"/>
              </w:rPr>
            </w:pPr>
            <w:r>
              <w:rPr>
                <w:rFonts w:hint="eastAsia" w:ascii="宋体" w:hAnsi="宋体"/>
                <w:color w:val="auto"/>
                <w:szCs w:val="21"/>
                <w:highlight w:val="none"/>
              </w:rPr>
              <w:t xml:space="preserve"> 10 分</w:t>
            </w:r>
          </w:p>
        </w:tc>
        <w:tc>
          <w:tcPr>
            <w:tcW w:w="1443" w:type="dxa"/>
            <w:noWrap w:val="0"/>
            <w:vAlign w:val="center"/>
          </w:tcPr>
          <w:p w14:paraId="4F505A25">
            <w:pPr>
              <w:ind w:left="113" w:right="113" w:firstLine="4" w:firstLineChars="2"/>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信誉</w:t>
            </w:r>
          </w:p>
        </w:tc>
        <w:tc>
          <w:tcPr>
            <w:tcW w:w="905" w:type="dxa"/>
            <w:noWrap w:val="0"/>
            <w:vAlign w:val="center"/>
          </w:tcPr>
          <w:p w14:paraId="7AE46EFF">
            <w:pPr>
              <w:jc w:val="center"/>
              <w:rPr>
                <w:rFonts w:ascii="宋体" w:hAnsi="宋体"/>
                <w:color w:val="auto"/>
                <w:szCs w:val="22"/>
                <w:highlight w:val="none"/>
              </w:rPr>
            </w:pPr>
            <w:r>
              <w:rPr>
                <w:rFonts w:hint="eastAsia" w:ascii="宋体" w:hAnsi="宋体"/>
                <w:color w:val="auto"/>
                <w:szCs w:val="21"/>
                <w:highlight w:val="none"/>
              </w:rPr>
              <w:t>10分</w:t>
            </w:r>
          </w:p>
        </w:tc>
        <w:tc>
          <w:tcPr>
            <w:tcW w:w="3461" w:type="dxa"/>
            <w:noWrap w:val="0"/>
            <w:vAlign w:val="center"/>
          </w:tcPr>
          <w:p w14:paraId="6B6BAA0F">
            <w:pPr>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信誉等级AA</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得10分</w:t>
            </w:r>
          </w:p>
          <w:p w14:paraId="5F434FE4">
            <w:pPr>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信誉等级A</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 xml:space="preserve"> </w:t>
            </w:r>
            <w:r>
              <w:rPr>
                <w:rFonts w:hint="eastAsia" w:ascii="宋体" w:hAnsi="宋体" w:eastAsia="宋体" w:cs="Times New Roman"/>
                <w:b/>
                <w:bCs/>
                <w:color w:val="auto"/>
                <w:szCs w:val="21"/>
                <w:highlight w:val="none"/>
              </w:rPr>
              <w:t>得</w:t>
            </w:r>
            <w:r>
              <w:rPr>
                <w:rFonts w:hint="eastAsia" w:ascii="宋体" w:hAnsi="宋体" w:eastAsia="宋体" w:cs="Times New Roman"/>
                <w:b/>
                <w:bCs/>
                <w:color w:val="auto"/>
                <w:szCs w:val="21"/>
                <w:highlight w:val="none"/>
                <w:lang w:val="en-US" w:eastAsia="zh-CN"/>
              </w:rPr>
              <w:t>8</w:t>
            </w:r>
            <w:r>
              <w:rPr>
                <w:rFonts w:hint="eastAsia" w:ascii="宋体" w:hAnsi="宋体" w:eastAsia="宋体" w:cs="Times New Roman"/>
                <w:b/>
                <w:bCs/>
                <w:color w:val="auto"/>
                <w:szCs w:val="21"/>
                <w:highlight w:val="none"/>
              </w:rPr>
              <w:t>分</w:t>
            </w:r>
          </w:p>
          <w:p w14:paraId="60D82F88">
            <w:pPr>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信誉等级B</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 xml:space="preserve"> </w:t>
            </w:r>
            <w:r>
              <w:rPr>
                <w:rFonts w:hint="eastAsia" w:ascii="宋体" w:hAnsi="宋体" w:eastAsia="宋体" w:cs="Times New Roman"/>
                <w:b/>
                <w:bCs/>
                <w:color w:val="auto"/>
                <w:szCs w:val="21"/>
                <w:highlight w:val="none"/>
              </w:rPr>
              <w:t>得</w:t>
            </w:r>
            <w:r>
              <w:rPr>
                <w:rFonts w:hint="eastAsia" w:ascii="宋体" w:hAnsi="宋体" w:eastAsia="宋体" w:cs="Times New Roman"/>
                <w:b/>
                <w:bCs/>
                <w:color w:val="auto"/>
                <w:szCs w:val="21"/>
                <w:highlight w:val="none"/>
                <w:lang w:val="en-US" w:eastAsia="zh-CN"/>
              </w:rPr>
              <w:t>6</w:t>
            </w:r>
            <w:r>
              <w:rPr>
                <w:rFonts w:hint="eastAsia" w:ascii="宋体" w:hAnsi="宋体" w:eastAsia="宋体" w:cs="Times New Roman"/>
                <w:b/>
                <w:bCs/>
                <w:color w:val="auto"/>
                <w:szCs w:val="21"/>
                <w:highlight w:val="none"/>
              </w:rPr>
              <w:t>分</w:t>
            </w:r>
          </w:p>
          <w:p w14:paraId="1CC1C134">
            <w:pPr>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信誉等级C</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 xml:space="preserve"> </w:t>
            </w:r>
            <w:r>
              <w:rPr>
                <w:rFonts w:hint="eastAsia" w:ascii="宋体" w:hAnsi="宋体" w:eastAsia="宋体" w:cs="Times New Roman"/>
                <w:b/>
                <w:bCs/>
                <w:color w:val="auto"/>
                <w:szCs w:val="21"/>
                <w:highlight w:val="none"/>
              </w:rPr>
              <w:t>得</w:t>
            </w: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分</w:t>
            </w:r>
          </w:p>
          <w:p w14:paraId="01F4BDFD">
            <w:pPr>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信誉等级D</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得0分</w:t>
            </w:r>
          </w:p>
          <w:p w14:paraId="192BA5A8">
            <w:pPr>
              <w:pStyle w:val="7"/>
              <w:rPr>
                <w:rFonts w:hint="eastAsia"/>
                <w:highlight w:val="none"/>
              </w:rPr>
            </w:pPr>
          </w:p>
          <w:p w14:paraId="5C05E479">
            <w:pPr>
              <w:autoSpaceDE w:val="0"/>
              <w:autoSpaceDN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投标人的信用评价按以下</w:t>
            </w:r>
            <w:r>
              <w:rPr>
                <w:rFonts w:hint="eastAsia" w:ascii="宋体" w:hAnsi="宋体" w:eastAsia="宋体" w:cs="宋体"/>
                <w:sz w:val="21"/>
                <w:szCs w:val="21"/>
                <w:highlight w:val="none"/>
                <w:lang w:val="en-US" w:eastAsia="zh-CN"/>
              </w:rPr>
              <w:t>顺序优先</w:t>
            </w:r>
            <w:r>
              <w:rPr>
                <w:rFonts w:hint="eastAsia" w:ascii="宋体" w:hAnsi="宋体" w:eastAsia="宋体" w:cs="宋体"/>
                <w:sz w:val="21"/>
                <w:szCs w:val="21"/>
                <w:highlight w:val="none"/>
                <w:lang w:eastAsia="zh-CN"/>
              </w:rPr>
              <w:t>确定：</w:t>
            </w:r>
          </w:p>
          <w:p w14:paraId="353E5080">
            <w:pPr>
              <w:autoSpaceDE w:val="0"/>
              <w:autoSpaceDN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（1）吉林省交通运输厅发布的《关于发布吉林省2024年度公路建设市场省级信用评价结果的通告》“吉林省2024年公路监理企业信用评价结果”</w:t>
            </w:r>
            <w:r>
              <w:rPr>
                <w:rFonts w:hint="eastAsia" w:ascii="宋体" w:hAnsi="宋体" w:eastAsia="宋体" w:cs="宋体"/>
                <w:sz w:val="21"/>
                <w:szCs w:val="21"/>
                <w:highlight w:val="none"/>
                <w:lang w:eastAsia="zh-CN"/>
              </w:rPr>
              <w:t>中投标人的信用等级；</w:t>
            </w:r>
          </w:p>
          <w:p w14:paraId="5FCF0980">
            <w:pPr>
              <w:autoSpaceDE w:val="0"/>
              <w:autoSpaceDN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吉林省交通运输厅发布的《关于发布2023年度公路建设市场吉林省省级综合评价结果的通告》（2024年第8号）“吉林省2023年公路监理企业信用评价结果”</w:t>
            </w:r>
            <w:r>
              <w:rPr>
                <w:rFonts w:hint="eastAsia" w:ascii="宋体" w:hAnsi="宋体" w:eastAsia="宋体" w:cs="宋体"/>
                <w:sz w:val="21"/>
                <w:szCs w:val="21"/>
                <w:highlight w:val="none"/>
                <w:lang w:eastAsia="zh-CN"/>
              </w:rPr>
              <w:t>中投标人的信用等级</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lang w:eastAsia="zh-CN"/>
              </w:rPr>
              <w:t>交通运输部“全国公路建设市场</w:t>
            </w:r>
            <w:r>
              <w:rPr>
                <w:rFonts w:hint="eastAsia" w:ascii="宋体" w:hAnsi="宋体" w:eastAsia="宋体" w:cs="宋体"/>
                <w:sz w:val="21"/>
                <w:szCs w:val="21"/>
                <w:highlight w:val="none"/>
                <w:lang w:val="en-US" w:eastAsia="zh-CN"/>
              </w:rPr>
              <w:t>监督</w:t>
            </w:r>
            <w:r>
              <w:rPr>
                <w:rFonts w:hint="eastAsia" w:ascii="宋体" w:hAnsi="宋体" w:eastAsia="宋体" w:cs="宋体"/>
                <w:sz w:val="21"/>
                <w:szCs w:val="21"/>
                <w:highlight w:val="none"/>
                <w:lang w:eastAsia="zh-CN"/>
              </w:rPr>
              <w:t>管理系统”“全国公路从业单位信用评价结果”中</w:t>
            </w:r>
            <w:r>
              <w:rPr>
                <w:rFonts w:hint="eastAsia" w:ascii="宋体" w:hAnsi="宋体" w:eastAsia="宋体" w:cs="宋体"/>
                <w:sz w:val="21"/>
                <w:szCs w:val="21"/>
                <w:highlight w:val="none"/>
                <w:lang w:val="en-US" w:eastAsia="zh-CN"/>
              </w:rPr>
              <w:t>监理企业</w:t>
            </w:r>
            <w:r>
              <w:rPr>
                <w:rFonts w:hint="eastAsia" w:ascii="宋体" w:hAnsi="宋体" w:eastAsia="宋体" w:cs="宋体"/>
                <w:sz w:val="21"/>
                <w:szCs w:val="21"/>
                <w:highlight w:val="none"/>
                <w:lang w:eastAsia="zh-CN"/>
              </w:rPr>
              <w:t>投标人的20</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lang w:eastAsia="zh-CN"/>
              </w:rPr>
              <w:t>年度信用等级，</w:t>
            </w:r>
            <w:r>
              <w:rPr>
                <w:rFonts w:hint="eastAsia" w:ascii="宋体" w:hAnsi="宋体" w:eastAsia="宋体" w:cs="宋体"/>
                <w:sz w:val="21"/>
                <w:szCs w:val="21"/>
                <w:highlight w:val="none"/>
                <w:lang w:val="en-US" w:eastAsia="zh-CN"/>
              </w:rPr>
              <w:t>同一投标人同时具有上述企业信用评价的，以信用评价等级低认定；</w:t>
            </w:r>
          </w:p>
          <w:p w14:paraId="613FCF02">
            <w:pPr>
              <w:autoSpaceDE w:val="0"/>
              <w:autoSpaceDN w:val="0"/>
              <w:rPr>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）无上述企业信用评价的，若未列入交通运输部“全国公路建设市场监督管理系统</w:t>
            </w:r>
            <w:r>
              <w:rPr>
                <w:rFonts w:hint="eastAsia" w:ascii="宋体" w:hAnsi="宋体" w:eastAsia="宋体" w:cs="宋体"/>
                <w:sz w:val="21"/>
                <w:szCs w:val="21"/>
                <w:highlight w:val="none"/>
              </w:rPr>
              <w:t>”“不良信用记录”的，按A级对待</w:t>
            </w:r>
            <w:r>
              <w:rPr>
                <w:rFonts w:hint="eastAsia" w:ascii="宋体" w:hAnsi="宋体" w:eastAsia="宋体" w:cs="宋体"/>
                <w:sz w:val="21"/>
                <w:szCs w:val="21"/>
                <w:highlight w:val="none"/>
                <w:lang w:eastAsia="zh-CN"/>
              </w:rPr>
              <w:t>，若有不良信用记录，视其严重程度按B级或以下等级评分。</w:t>
            </w:r>
          </w:p>
        </w:tc>
      </w:tr>
    </w:tbl>
    <w:p w14:paraId="1AB7F0FA">
      <w:pPr>
        <w:spacing w:line="360" w:lineRule="auto"/>
        <w:ind w:firstLine="420" w:firstLineChars="200"/>
        <w:rPr>
          <w:rFonts w:ascii="宋体" w:hAnsi="宋体"/>
          <w:color w:val="auto"/>
          <w:szCs w:val="21"/>
          <w:highlight w:val="none"/>
        </w:rPr>
        <w:sectPr>
          <w:footerReference r:id="rId4" w:type="default"/>
          <w:footnotePr>
            <w:numFmt w:val="decimalEnclosedCircleChinese"/>
            <w:numRestart w:val="eachPage"/>
          </w:footnotePr>
          <w:pgSz w:w="11906" w:h="16838"/>
          <w:pgMar w:top="1418" w:right="1418" w:bottom="1418" w:left="1418" w:header="851" w:footer="851" w:gutter="0"/>
          <w:pgBorders>
            <w:top w:val="none" w:sz="0" w:space="0"/>
            <w:left w:val="none" w:sz="0" w:space="0"/>
            <w:bottom w:val="none" w:sz="0" w:space="0"/>
            <w:right w:val="none" w:sz="0" w:space="0"/>
          </w:pgBorders>
          <w:cols w:space="720" w:num="1"/>
          <w:docGrid w:linePitch="312" w:charSpace="0"/>
        </w:sectPr>
      </w:pPr>
    </w:p>
    <w:p w14:paraId="7ECE08E0">
      <w:pPr>
        <w:pStyle w:val="4"/>
        <w:spacing w:before="0" w:after="0" w:line="400" w:lineRule="exact"/>
        <w:rPr>
          <w:rFonts w:hint="eastAsia" w:eastAsia="宋体"/>
          <w:b w:val="0"/>
          <w:color w:val="auto"/>
          <w:sz w:val="21"/>
          <w:szCs w:val="21"/>
          <w:highlight w:val="none"/>
        </w:rPr>
      </w:pPr>
      <w:bookmarkStart w:id="19" w:name="_Toc184635093"/>
      <w:r>
        <w:rPr>
          <w:b w:val="0"/>
          <w:color w:val="auto"/>
          <w:sz w:val="21"/>
          <w:szCs w:val="21"/>
          <w:highlight w:val="none"/>
        </w:rPr>
        <w:t>1</w:t>
      </w:r>
      <w:r>
        <w:rPr>
          <w:rFonts w:hint="eastAsia"/>
          <w:b w:val="0"/>
          <w:color w:val="auto"/>
          <w:sz w:val="21"/>
          <w:szCs w:val="21"/>
          <w:highlight w:val="none"/>
        </w:rPr>
        <w:t>、评标方法</w:t>
      </w:r>
      <w:bookmarkEnd w:id="19"/>
    </w:p>
    <w:p w14:paraId="1F17DD9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3D012E94">
      <w:pPr>
        <w:pStyle w:val="4"/>
        <w:spacing w:before="0" w:after="0" w:line="400" w:lineRule="exact"/>
        <w:rPr>
          <w:rFonts w:hint="eastAsia"/>
          <w:b w:val="0"/>
          <w:color w:val="auto"/>
          <w:sz w:val="21"/>
          <w:szCs w:val="21"/>
          <w:highlight w:val="none"/>
        </w:rPr>
      </w:pPr>
      <w:bookmarkStart w:id="20" w:name="_Toc184635094"/>
      <w:r>
        <w:rPr>
          <w:b w:val="0"/>
          <w:color w:val="auto"/>
          <w:sz w:val="21"/>
          <w:szCs w:val="21"/>
          <w:highlight w:val="none"/>
        </w:rPr>
        <w:t>2</w:t>
      </w:r>
      <w:r>
        <w:rPr>
          <w:rFonts w:hint="eastAsia"/>
          <w:b w:val="0"/>
          <w:color w:val="auto"/>
          <w:sz w:val="21"/>
          <w:szCs w:val="21"/>
          <w:highlight w:val="none"/>
        </w:rPr>
        <w:t>、评审标准</w:t>
      </w:r>
      <w:bookmarkEnd w:id="20"/>
    </w:p>
    <w:p w14:paraId="54ACF6D9">
      <w:pPr>
        <w:pStyle w:val="4"/>
        <w:tabs>
          <w:tab w:val="left" w:pos="2505"/>
        </w:tabs>
        <w:spacing w:before="0" w:after="0" w:line="400" w:lineRule="exact"/>
        <w:rPr>
          <w:b w:val="0"/>
          <w:color w:val="auto"/>
          <w:sz w:val="21"/>
          <w:szCs w:val="21"/>
          <w:highlight w:val="none"/>
        </w:rPr>
      </w:pPr>
      <w:r>
        <w:rPr>
          <w:b w:val="0"/>
          <w:color w:val="auto"/>
          <w:sz w:val="21"/>
          <w:szCs w:val="21"/>
          <w:highlight w:val="none"/>
        </w:rPr>
        <w:t>2.1</w:t>
      </w:r>
      <w:r>
        <w:rPr>
          <w:rFonts w:hint="eastAsia"/>
          <w:b w:val="0"/>
          <w:color w:val="auto"/>
          <w:sz w:val="21"/>
          <w:szCs w:val="21"/>
          <w:highlight w:val="none"/>
        </w:rPr>
        <w:t>初步评审标准</w:t>
      </w:r>
      <w:r>
        <w:rPr>
          <w:b w:val="0"/>
          <w:color w:val="auto"/>
          <w:sz w:val="21"/>
          <w:szCs w:val="21"/>
          <w:highlight w:val="none"/>
        </w:rPr>
        <w:tab/>
      </w:r>
    </w:p>
    <w:p w14:paraId="0BDA5E1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2.1.1形式评审标准：见评标办法前附表。</w:t>
      </w:r>
    </w:p>
    <w:p w14:paraId="6BF74A7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2.1.2资格评审标准：见评标办法前附表</w:t>
      </w:r>
      <w:r>
        <w:rPr>
          <w:rFonts w:ascii="宋体" w:hAnsi="宋体"/>
          <w:color w:val="auto"/>
          <w:szCs w:val="21"/>
          <w:highlight w:val="none"/>
        </w:rPr>
        <w:t>（适用于</w:t>
      </w:r>
      <w:r>
        <w:rPr>
          <w:rFonts w:hint="eastAsia" w:ascii="宋体" w:hAnsi="宋体"/>
          <w:color w:val="auto"/>
          <w:szCs w:val="21"/>
          <w:highlight w:val="none"/>
        </w:rPr>
        <w:t>未</w:t>
      </w:r>
      <w:r>
        <w:rPr>
          <w:rFonts w:ascii="宋体" w:hAnsi="宋体"/>
          <w:color w:val="auto"/>
          <w:szCs w:val="21"/>
          <w:highlight w:val="none"/>
        </w:rPr>
        <w:t>进行资格预审的）</w:t>
      </w:r>
      <w:r>
        <w:rPr>
          <w:rFonts w:hint="eastAsia" w:ascii="宋体" w:hAnsi="宋体"/>
          <w:color w:val="auto"/>
          <w:szCs w:val="21"/>
          <w:highlight w:val="none"/>
        </w:rPr>
        <w:t>。</w:t>
      </w:r>
    </w:p>
    <w:p w14:paraId="384209C0">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2.1.2资格评审标准：见资格预审文件第三章“资格审查办法”详细审查标准（适用于已进行资格预审的）。</w:t>
      </w:r>
    </w:p>
    <w:p w14:paraId="61053F7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2.1.3响应性评审标准：见评标办法前附表。</w:t>
      </w:r>
    </w:p>
    <w:p w14:paraId="09B74DE7">
      <w:pPr>
        <w:pStyle w:val="4"/>
        <w:spacing w:before="0" w:after="0" w:line="400" w:lineRule="exact"/>
        <w:rPr>
          <w:rFonts w:hint="eastAsia"/>
          <w:b w:val="0"/>
          <w:color w:val="auto"/>
          <w:sz w:val="21"/>
          <w:szCs w:val="21"/>
          <w:highlight w:val="none"/>
        </w:rPr>
      </w:pPr>
      <w:r>
        <w:rPr>
          <w:b w:val="0"/>
          <w:color w:val="auto"/>
          <w:sz w:val="21"/>
          <w:szCs w:val="21"/>
          <w:highlight w:val="none"/>
        </w:rPr>
        <w:t>2.2</w:t>
      </w:r>
      <w:r>
        <w:rPr>
          <w:rFonts w:hint="eastAsia"/>
          <w:b w:val="0"/>
          <w:color w:val="auto"/>
          <w:sz w:val="21"/>
          <w:szCs w:val="21"/>
          <w:highlight w:val="none"/>
        </w:rPr>
        <w:t>分值构成与评分标准</w:t>
      </w:r>
    </w:p>
    <w:p w14:paraId="62C062E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2.2.1分值构成</w:t>
      </w:r>
    </w:p>
    <w:p w14:paraId="76F6B80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(l）技术建议书：见评标办法前附表；</w:t>
      </w:r>
    </w:p>
    <w:p w14:paraId="16E03A4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(2）主要人员：见评标办法前附表；</w:t>
      </w:r>
    </w:p>
    <w:p w14:paraId="02CD4BE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(3）评标价：见评标办法前附表；</w:t>
      </w:r>
    </w:p>
    <w:p w14:paraId="1987B2A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(4）其他评分因素：见评标办法前附表。</w:t>
      </w:r>
    </w:p>
    <w:p w14:paraId="5CADD64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2.2.2评标基准价计算</w:t>
      </w:r>
    </w:p>
    <w:p w14:paraId="09C59D3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评标基准价计算方法：见评标办法前附表。</w:t>
      </w:r>
    </w:p>
    <w:p w14:paraId="4497B30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2.2.3投标报价的偏差率计算</w:t>
      </w:r>
    </w:p>
    <w:p w14:paraId="248F7DA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评标价的偏差率计算公式：见评标办法前附表。</w:t>
      </w:r>
    </w:p>
    <w:p w14:paraId="3FC4B7B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2.2.4评分标准</w:t>
      </w:r>
    </w:p>
    <w:p w14:paraId="0B2EB99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(1）技术建议书评分标准：见评标办法前附表；</w:t>
      </w:r>
    </w:p>
    <w:p w14:paraId="285F49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(2）主要人员评分标准：见评标办法前附表；</w:t>
      </w:r>
    </w:p>
    <w:p w14:paraId="6958BCA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(3）评标价评分标准：见评标办法前附表；</w:t>
      </w:r>
    </w:p>
    <w:p w14:paraId="147A770B">
      <w:pPr>
        <w:spacing w:line="400" w:lineRule="exact"/>
        <w:ind w:firstLine="420" w:firstLineChars="200"/>
        <w:rPr>
          <w:rFonts w:hint="eastAsia"/>
          <w:color w:val="auto"/>
          <w:szCs w:val="21"/>
          <w:highlight w:val="none"/>
        </w:rPr>
      </w:pPr>
      <w:r>
        <w:rPr>
          <w:rFonts w:hint="eastAsia" w:ascii="宋体" w:hAnsi="宋体"/>
          <w:color w:val="auto"/>
          <w:szCs w:val="21"/>
          <w:highlight w:val="none"/>
        </w:rPr>
        <w:t>(4）其他因素评分标准：见评标办法前附表。</w:t>
      </w:r>
    </w:p>
    <w:p w14:paraId="58254184">
      <w:pPr>
        <w:pStyle w:val="4"/>
        <w:spacing w:before="0" w:after="0" w:line="400" w:lineRule="exact"/>
        <w:rPr>
          <w:b w:val="0"/>
          <w:color w:val="auto"/>
          <w:sz w:val="21"/>
          <w:szCs w:val="21"/>
          <w:highlight w:val="none"/>
        </w:rPr>
      </w:pPr>
      <w:r>
        <w:rPr>
          <w:b w:val="0"/>
          <w:color w:val="auto"/>
          <w:sz w:val="21"/>
          <w:szCs w:val="21"/>
          <w:highlight w:val="none"/>
        </w:rPr>
        <w:t>3.评标程序</w:t>
      </w:r>
    </w:p>
    <w:p w14:paraId="6DB19EA9">
      <w:pPr>
        <w:pStyle w:val="4"/>
        <w:spacing w:before="0" w:after="0" w:line="400" w:lineRule="exact"/>
        <w:rPr>
          <w:b w:val="0"/>
          <w:color w:val="auto"/>
          <w:sz w:val="21"/>
          <w:szCs w:val="21"/>
          <w:highlight w:val="none"/>
        </w:rPr>
      </w:pPr>
      <w:r>
        <w:rPr>
          <w:b w:val="0"/>
          <w:color w:val="auto"/>
          <w:sz w:val="21"/>
          <w:szCs w:val="21"/>
          <w:highlight w:val="none"/>
        </w:rPr>
        <w:t>3.1</w:t>
      </w:r>
      <w:r>
        <w:rPr>
          <w:rFonts w:hint="eastAsia"/>
          <w:b w:val="0"/>
          <w:color w:val="auto"/>
          <w:sz w:val="21"/>
          <w:szCs w:val="21"/>
          <w:highlight w:val="none"/>
        </w:rPr>
        <w:t>第一个信封</w:t>
      </w:r>
      <w:r>
        <w:rPr>
          <w:b w:val="0"/>
          <w:color w:val="auto"/>
          <w:sz w:val="21"/>
          <w:szCs w:val="21"/>
          <w:highlight w:val="none"/>
        </w:rPr>
        <w:t>初步评审</w:t>
      </w:r>
    </w:p>
    <w:p w14:paraId="762C0349">
      <w:pPr>
        <w:spacing w:line="400" w:lineRule="exact"/>
        <w:ind w:firstLine="420" w:firstLineChars="200"/>
        <w:rPr>
          <w:rFonts w:ascii="宋体" w:hAnsi="宋体"/>
          <w:color w:val="auto"/>
          <w:szCs w:val="21"/>
          <w:highlight w:val="none"/>
        </w:rPr>
      </w:pPr>
      <w:r>
        <w:rPr>
          <w:rFonts w:ascii="宋体" w:hAnsi="宋体"/>
          <w:color w:val="auto"/>
          <w:szCs w:val="21"/>
          <w:highlight w:val="none"/>
        </w:rPr>
        <w:t>3.1.1评标委员会可以要求投标人提交第二章“投标人须知”第3.5.1项至第3.5.</w:t>
      </w:r>
      <w:r>
        <w:rPr>
          <w:rFonts w:hint="eastAsia" w:ascii="宋体" w:hAnsi="宋体"/>
          <w:color w:val="auto"/>
          <w:szCs w:val="21"/>
          <w:highlight w:val="none"/>
        </w:rPr>
        <w:t>5</w:t>
      </w:r>
      <w:r>
        <w:rPr>
          <w:rFonts w:ascii="宋体" w:hAnsi="宋体"/>
          <w:color w:val="auto"/>
          <w:szCs w:val="21"/>
          <w:highlight w:val="none"/>
        </w:rPr>
        <w:t>项规定的有关证明和证件的原件，以便核验。评标委员会依据本章第2.1款规定的标准对投标文件</w:t>
      </w:r>
      <w:r>
        <w:rPr>
          <w:rFonts w:hint="eastAsia" w:ascii="宋体" w:hAnsi="宋体"/>
          <w:color w:val="auto"/>
          <w:szCs w:val="21"/>
          <w:highlight w:val="none"/>
        </w:rPr>
        <w:t>第一个信封（商务及技术文件）</w:t>
      </w:r>
      <w:r>
        <w:rPr>
          <w:rFonts w:ascii="宋体" w:hAnsi="宋体"/>
          <w:color w:val="auto"/>
          <w:szCs w:val="21"/>
          <w:highlight w:val="none"/>
        </w:rPr>
        <w:t>进行初步评审。有一项不符合评审标准的，</w:t>
      </w:r>
      <w:r>
        <w:rPr>
          <w:rFonts w:hint="eastAsia" w:ascii="宋体" w:hAnsi="宋体"/>
          <w:color w:val="auto"/>
          <w:szCs w:val="21"/>
          <w:highlight w:val="none"/>
        </w:rPr>
        <w:t>评标委员会应否决其投标</w:t>
      </w:r>
      <w:r>
        <w:rPr>
          <w:rFonts w:ascii="宋体" w:hAnsi="宋体"/>
          <w:color w:val="auto"/>
          <w:szCs w:val="21"/>
          <w:highlight w:val="none"/>
        </w:rPr>
        <w:t>。（适用于未进行资格预审的）</w:t>
      </w:r>
    </w:p>
    <w:p w14:paraId="42050AC3">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3.1.1评标委员会依据本章第2.1.1项、第2.1.3项规定的</w:t>
      </w:r>
      <w:r>
        <w:rPr>
          <w:rFonts w:hint="eastAsia" w:ascii="宋体" w:hAnsi="宋体"/>
          <w:color w:val="auto"/>
          <w:szCs w:val="21"/>
          <w:highlight w:val="none"/>
        </w:rPr>
        <w:t>评审</w:t>
      </w:r>
      <w:r>
        <w:rPr>
          <w:rFonts w:ascii="宋体" w:hAnsi="宋体"/>
          <w:color w:val="auto"/>
          <w:szCs w:val="21"/>
          <w:highlight w:val="none"/>
        </w:rPr>
        <w:t>标准对投标文件</w:t>
      </w:r>
      <w:r>
        <w:rPr>
          <w:rFonts w:hint="eastAsia" w:ascii="宋体" w:hAnsi="宋体"/>
          <w:color w:val="auto"/>
          <w:szCs w:val="21"/>
          <w:highlight w:val="none"/>
        </w:rPr>
        <w:t>第一个信封（商务及技术文件）</w:t>
      </w:r>
      <w:r>
        <w:rPr>
          <w:rFonts w:ascii="宋体" w:hAnsi="宋体"/>
          <w:color w:val="auto"/>
          <w:szCs w:val="21"/>
          <w:highlight w:val="none"/>
        </w:rPr>
        <w:t>进行初步评审。有一项不符合评审标准的，</w:t>
      </w:r>
      <w:r>
        <w:rPr>
          <w:rFonts w:hint="eastAsia" w:ascii="宋体" w:hAnsi="宋体"/>
          <w:color w:val="auto"/>
          <w:szCs w:val="21"/>
          <w:highlight w:val="none"/>
        </w:rPr>
        <w:t>评标委员会应否决其投标</w:t>
      </w:r>
      <w:r>
        <w:rPr>
          <w:rFonts w:ascii="宋体" w:hAnsi="宋体"/>
          <w:color w:val="auto"/>
          <w:szCs w:val="21"/>
          <w:highlight w:val="none"/>
        </w:rPr>
        <w:t>。当投标人资格预审申请文件的内容发生重大变化时，评标委员会依据本章第2.1.2项规定的标准对其更新资料进行评审。（适用于已进行资格预审的）</w:t>
      </w:r>
    </w:p>
    <w:p w14:paraId="27B25952">
      <w:pPr>
        <w:pStyle w:val="4"/>
        <w:spacing w:before="0" w:after="0" w:line="400" w:lineRule="exact"/>
        <w:rPr>
          <w:b w:val="0"/>
          <w:color w:val="auto"/>
          <w:sz w:val="21"/>
          <w:szCs w:val="21"/>
          <w:highlight w:val="none"/>
        </w:rPr>
      </w:pPr>
      <w:r>
        <w:rPr>
          <w:b w:val="0"/>
          <w:color w:val="auto"/>
          <w:sz w:val="21"/>
          <w:szCs w:val="21"/>
          <w:highlight w:val="none"/>
        </w:rPr>
        <w:t>3.</w:t>
      </w:r>
      <w:r>
        <w:rPr>
          <w:rFonts w:hint="eastAsia"/>
          <w:b w:val="0"/>
          <w:color w:val="auto"/>
          <w:sz w:val="21"/>
          <w:szCs w:val="21"/>
          <w:highlight w:val="none"/>
        </w:rPr>
        <w:t>2第一个信封详细评审</w:t>
      </w:r>
    </w:p>
    <w:p w14:paraId="18343A5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3.2.1评标委员会按本章第2.2款规定的量化因素和分值进行打分，并计算出各投标人的商务和技术得分。</w:t>
      </w:r>
    </w:p>
    <w:p w14:paraId="4290C15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（1）按本章第2.2.4项（1）目规定的评审因素和分值对技术建议书部分计算出得分A；</w:t>
      </w:r>
    </w:p>
    <w:p w14:paraId="7F5EBF6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（2）按本章第2.2.4项（2）目规定的评审因素和分值对主要人员部分计算出得分B；</w:t>
      </w:r>
    </w:p>
    <w:p w14:paraId="55857F3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（3）按本章第2.2.4项（4）目规定的评审因素和分值对其他部分计算出得分D。</w:t>
      </w:r>
    </w:p>
    <w:p w14:paraId="15577FA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3.2.2投标人的商务和技术得分分值计算保留小数点后两位，小数点后第三位“四舍五入”。</w:t>
      </w:r>
    </w:p>
    <w:p w14:paraId="142648B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3.2.3投标人的商务和技术得分=A+B+D。</w:t>
      </w:r>
    </w:p>
    <w:p w14:paraId="7CFA289A">
      <w:pPr>
        <w:pStyle w:val="4"/>
        <w:spacing w:before="0" w:after="0" w:line="400" w:lineRule="exact"/>
        <w:rPr>
          <w:b w:val="0"/>
          <w:color w:val="auto"/>
          <w:sz w:val="21"/>
          <w:szCs w:val="21"/>
          <w:highlight w:val="none"/>
        </w:rPr>
      </w:pPr>
      <w:r>
        <w:rPr>
          <w:b w:val="0"/>
          <w:color w:val="auto"/>
          <w:sz w:val="21"/>
          <w:szCs w:val="21"/>
          <w:highlight w:val="none"/>
        </w:rPr>
        <w:t>3.</w:t>
      </w:r>
      <w:r>
        <w:rPr>
          <w:rFonts w:hint="eastAsia"/>
          <w:b w:val="0"/>
          <w:color w:val="auto"/>
          <w:sz w:val="21"/>
          <w:szCs w:val="21"/>
          <w:highlight w:val="none"/>
        </w:rPr>
        <w:t>3第二个信封开标</w:t>
      </w:r>
    </w:p>
    <w:p w14:paraId="60E6DD1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2B634FCE">
      <w:pPr>
        <w:pStyle w:val="4"/>
        <w:spacing w:before="0" w:after="0" w:line="400" w:lineRule="exact"/>
        <w:rPr>
          <w:b w:val="0"/>
          <w:color w:val="auto"/>
          <w:sz w:val="21"/>
          <w:szCs w:val="21"/>
          <w:highlight w:val="none"/>
        </w:rPr>
      </w:pPr>
      <w:r>
        <w:rPr>
          <w:b w:val="0"/>
          <w:color w:val="auto"/>
          <w:sz w:val="21"/>
          <w:szCs w:val="21"/>
          <w:highlight w:val="none"/>
        </w:rPr>
        <w:t>3.</w:t>
      </w:r>
      <w:r>
        <w:rPr>
          <w:rFonts w:hint="eastAsia"/>
          <w:b w:val="0"/>
          <w:color w:val="auto"/>
          <w:sz w:val="21"/>
          <w:szCs w:val="21"/>
          <w:highlight w:val="none"/>
        </w:rPr>
        <w:t>4第二个信封</w:t>
      </w:r>
      <w:r>
        <w:rPr>
          <w:b w:val="0"/>
          <w:color w:val="auto"/>
          <w:sz w:val="21"/>
          <w:szCs w:val="21"/>
          <w:highlight w:val="none"/>
        </w:rPr>
        <w:t>初步评审</w:t>
      </w:r>
    </w:p>
    <w:p w14:paraId="192D1ABC">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.1评标委员会依据本章第2.1.1项、第2.1.3项规定的</w:t>
      </w:r>
      <w:r>
        <w:rPr>
          <w:rFonts w:hint="eastAsia" w:ascii="宋体" w:hAnsi="宋体"/>
          <w:color w:val="auto"/>
          <w:szCs w:val="21"/>
          <w:highlight w:val="none"/>
        </w:rPr>
        <w:t>评审</w:t>
      </w:r>
      <w:r>
        <w:rPr>
          <w:rFonts w:ascii="宋体" w:hAnsi="宋体"/>
          <w:color w:val="auto"/>
          <w:szCs w:val="21"/>
          <w:highlight w:val="none"/>
        </w:rPr>
        <w:t>标准对投标文件</w:t>
      </w:r>
      <w:r>
        <w:rPr>
          <w:rFonts w:hint="eastAsia" w:ascii="宋体" w:hAnsi="宋体"/>
          <w:color w:val="auto"/>
          <w:szCs w:val="21"/>
          <w:highlight w:val="none"/>
        </w:rPr>
        <w:t>第二个信封（报价文件）</w:t>
      </w:r>
      <w:r>
        <w:rPr>
          <w:rFonts w:ascii="宋体" w:hAnsi="宋体"/>
          <w:color w:val="auto"/>
          <w:szCs w:val="21"/>
          <w:highlight w:val="none"/>
        </w:rPr>
        <w:t>进行初步评审。有一项不符合评审标准的，</w:t>
      </w:r>
      <w:r>
        <w:rPr>
          <w:rFonts w:hint="eastAsia" w:ascii="宋体" w:hAnsi="宋体"/>
          <w:color w:val="auto"/>
          <w:szCs w:val="21"/>
          <w:highlight w:val="none"/>
        </w:rPr>
        <w:t>评标委员会应否决其投标</w:t>
      </w:r>
      <w:r>
        <w:rPr>
          <w:rFonts w:ascii="宋体" w:hAnsi="宋体"/>
          <w:color w:val="auto"/>
          <w:szCs w:val="21"/>
          <w:highlight w:val="none"/>
        </w:rPr>
        <w:t>。</w:t>
      </w:r>
    </w:p>
    <w:p w14:paraId="5F92B4B6">
      <w:pPr>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投标报价有算术错误的，评标委员会按以下原则对投标报价进行修正，修正的价格经投标人书面确认后具有约束力。投标人不接受修正价格的，</w:t>
      </w:r>
      <w:r>
        <w:rPr>
          <w:rFonts w:hint="eastAsia" w:ascii="宋体" w:hAnsi="宋体"/>
          <w:color w:val="auto"/>
          <w:szCs w:val="21"/>
          <w:highlight w:val="none"/>
        </w:rPr>
        <w:t>评标委员会应否决其投标。</w:t>
      </w:r>
    </w:p>
    <w:p w14:paraId="08607F05">
      <w:pPr>
        <w:spacing w:line="400" w:lineRule="exact"/>
        <w:ind w:firstLine="420" w:firstLineChars="200"/>
        <w:rPr>
          <w:rFonts w:ascii="宋体" w:hAnsi="宋体"/>
          <w:color w:val="auto"/>
          <w:szCs w:val="21"/>
          <w:highlight w:val="none"/>
        </w:rPr>
      </w:pPr>
      <w:r>
        <w:rPr>
          <w:rFonts w:ascii="宋体" w:hAnsi="宋体"/>
          <w:color w:val="auto"/>
          <w:szCs w:val="21"/>
          <w:highlight w:val="none"/>
        </w:rPr>
        <w:t>（1）投标文件中的大写金额与小写金额不一致的，以大写金额为准；</w:t>
      </w:r>
    </w:p>
    <w:p w14:paraId="58EDECAB">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（2）总价金额与依据单价计算出的结果不一致的，以单价金额为准修正总价，但单价金额小数点有明显错误的除外</w:t>
      </w:r>
      <w:r>
        <w:rPr>
          <w:rFonts w:hint="eastAsia" w:ascii="宋体" w:hAnsi="宋体"/>
          <w:color w:val="auto"/>
          <w:szCs w:val="21"/>
          <w:highlight w:val="none"/>
        </w:rPr>
        <w:t>；</w:t>
      </w:r>
    </w:p>
    <w:p w14:paraId="30C1D4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（3）当单价与数量相乘不等于合价时，以单价计算为准，如果单价有明显的小数点位置差错，应以标出的合价为准，同时对单价予以修正；</w:t>
      </w:r>
    </w:p>
    <w:p w14:paraId="34BB27B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（4）当各子目的合价累计不等于总价时，应以各子目合价累计数为准，修正总价。</w:t>
      </w:r>
    </w:p>
    <w:p w14:paraId="72AFBE4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3.4.3修正后的最终投标报价若超过最高投标限价（如有），评标委员会应否决其投标。</w:t>
      </w:r>
    </w:p>
    <w:p w14:paraId="72E9390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3.4.4修正后的最终投标报价仅作为签订合同的一个依据，不参与评标价得分的计算。</w:t>
      </w:r>
    </w:p>
    <w:p w14:paraId="52414C14">
      <w:pPr>
        <w:pStyle w:val="4"/>
        <w:spacing w:before="0" w:after="0" w:line="400" w:lineRule="exact"/>
        <w:rPr>
          <w:b w:val="0"/>
          <w:color w:val="auto"/>
          <w:sz w:val="21"/>
          <w:szCs w:val="21"/>
          <w:highlight w:val="none"/>
        </w:rPr>
      </w:pPr>
      <w:r>
        <w:rPr>
          <w:b w:val="0"/>
          <w:color w:val="auto"/>
          <w:sz w:val="21"/>
          <w:szCs w:val="21"/>
          <w:highlight w:val="none"/>
        </w:rPr>
        <w:t>3.</w:t>
      </w:r>
      <w:r>
        <w:rPr>
          <w:rFonts w:hint="eastAsia"/>
          <w:b w:val="0"/>
          <w:color w:val="auto"/>
          <w:sz w:val="21"/>
          <w:szCs w:val="21"/>
          <w:highlight w:val="none"/>
        </w:rPr>
        <w:t>5第二个信封</w:t>
      </w:r>
      <w:r>
        <w:rPr>
          <w:b w:val="0"/>
          <w:color w:val="auto"/>
          <w:sz w:val="21"/>
          <w:szCs w:val="21"/>
          <w:highlight w:val="none"/>
        </w:rPr>
        <w:t>详细评审</w:t>
      </w:r>
    </w:p>
    <w:p w14:paraId="1B9AEBF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3.5.1评标委员会按本章第2.2.4项（3）目规定的评审因素和分值对评标价计算出得分C。评标价得分分值计算保留小数点后两位，小数点后第三位“四舍五入”。</w:t>
      </w:r>
    </w:p>
    <w:p w14:paraId="4633995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3.5.2投标人综合得分=投标人的商务和技术得分+C。</w:t>
      </w:r>
    </w:p>
    <w:p w14:paraId="32E8B21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2C9B6A54">
      <w:pPr>
        <w:pStyle w:val="4"/>
        <w:spacing w:before="0" w:after="0" w:line="400" w:lineRule="exact"/>
        <w:rPr>
          <w:b w:val="0"/>
          <w:color w:val="auto"/>
          <w:sz w:val="21"/>
          <w:szCs w:val="21"/>
          <w:highlight w:val="none"/>
        </w:rPr>
      </w:pPr>
      <w:r>
        <w:rPr>
          <w:b w:val="0"/>
          <w:color w:val="auto"/>
          <w:sz w:val="21"/>
          <w:szCs w:val="21"/>
          <w:highlight w:val="none"/>
        </w:rPr>
        <w:t>3.</w:t>
      </w:r>
      <w:r>
        <w:rPr>
          <w:rFonts w:hint="eastAsia"/>
          <w:b w:val="0"/>
          <w:color w:val="auto"/>
          <w:sz w:val="21"/>
          <w:szCs w:val="21"/>
          <w:highlight w:val="none"/>
        </w:rPr>
        <w:t>6</w:t>
      </w:r>
      <w:r>
        <w:rPr>
          <w:b w:val="0"/>
          <w:color w:val="auto"/>
          <w:sz w:val="21"/>
          <w:szCs w:val="21"/>
          <w:highlight w:val="none"/>
        </w:rPr>
        <w:t>投标文件</w:t>
      </w:r>
      <w:r>
        <w:rPr>
          <w:rFonts w:hint="eastAsia"/>
          <w:b w:val="0"/>
          <w:color w:val="auto"/>
          <w:sz w:val="21"/>
          <w:szCs w:val="21"/>
          <w:highlight w:val="none"/>
        </w:rPr>
        <w:t>相关信息的核查</w:t>
      </w:r>
    </w:p>
    <w:p w14:paraId="51E341C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55DBB51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5E5E4D1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（1）有下列情形之一的，属于投标人相互串通投标：</w:t>
      </w:r>
    </w:p>
    <w:p w14:paraId="35DED49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a.投标人之间协商投标报价等投标文件的实质性内容；</w:t>
      </w:r>
    </w:p>
    <w:p w14:paraId="76BAEB8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b.投标人之间约定中标人；</w:t>
      </w:r>
    </w:p>
    <w:p w14:paraId="317BC87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c.投标人之间约定部分投标人放弃投标或中标；</w:t>
      </w:r>
    </w:p>
    <w:p w14:paraId="732DE16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d.属于同一集团、协会、商会等组织成员的投标人按照该组织要求协同投标；</w:t>
      </w:r>
    </w:p>
    <w:p w14:paraId="7A0DA4D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e.投标人之间为谋取中标或者排斥特定投标人而采取的其他联合行动。</w:t>
      </w:r>
    </w:p>
    <w:p w14:paraId="7576414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（2）有下列情形之一的，视为投标人相互串通投标：</w:t>
      </w:r>
    </w:p>
    <w:p w14:paraId="4C0DDB9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a.不同投标人的投标文件由同一单位或者个人编制；</w:t>
      </w:r>
    </w:p>
    <w:p w14:paraId="02319CC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b.不同投标人委托同一单位或个人办理投标事宜；</w:t>
      </w:r>
    </w:p>
    <w:p w14:paraId="1B4D51B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c.不同投标人的投标文件载明的项目管理成员为同一人；</w:t>
      </w:r>
    </w:p>
    <w:p w14:paraId="4712386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d.不同投标人的投标文件异常一致或者投标报价呈规律性差异；</w:t>
      </w:r>
    </w:p>
    <w:p w14:paraId="3B08967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e.不同投标人的投标文件相互混装；</w:t>
      </w:r>
    </w:p>
    <w:p w14:paraId="3791F43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f.不同投标人的投标保证金从同一单位或个人的账户转出。</w:t>
      </w:r>
    </w:p>
    <w:p w14:paraId="306CFB7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（3）有下列情形之一的，属于招标人与投标人串通投标：</w:t>
      </w:r>
    </w:p>
    <w:p w14:paraId="7E44E74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a.招标人在开标前开启投标文件并将有关信息泄露给其他投标人；</w:t>
      </w:r>
    </w:p>
    <w:p w14:paraId="0462D94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b.招标人直接或间接向投标人泄露标底、评标委员会成员等信息；</w:t>
      </w:r>
    </w:p>
    <w:p w14:paraId="5A0D56A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c.招标人明示或暗示投标人压低或抬高投标报价；</w:t>
      </w:r>
    </w:p>
    <w:p w14:paraId="3487DF5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d.招标人授意投标人撤换、修改投标文件；</w:t>
      </w:r>
    </w:p>
    <w:p w14:paraId="0998895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e.招标人明示或暗示投标人为特定投标人中标提供方便；</w:t>
      </w:r>
    </w:p>
    <w:p w14:paraId="3EE475A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f.招标人与投标人为谋求特定投标人中标而采取的其他串通行为。</w:t>
      </w:r>
    </w:p>
    <w:p w14:paraId="3B8E17B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（4）投标人有下列情形之一的，属于弄虚作假的行为：</w:t>
      </w:r>
    </w:p>
    <w:p w14:paraId="6D58B1A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a.使用通过受让或租借等方式获取的资格、资质证书投标；</w:t>
      </w:r>
    </w:p>
    <w:p w14:paraId="56FBF49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b.使用伪造、变造的许可证件；</w:t>
      </w:r>
    </w:p>
    <w:p w14:paraId="550846A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c.提供虚假的业绩；</w:t>
      </w:r>
    </w:p>
    <w:p w14:paraId="183D43D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d.提供虚假的项目负责人或主要技术人员简历、劳动关系证明；</w:t>
      </w:r>
    </w:p>
    <w:p w14:paraId="5CA06C1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e.提供虚假的信用状况；</w:t>
      </w:r>
    </w:p>
    <w:p w14:paraId="3BB66CD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f.其他弄虚作假的行为。</w:t>
      </w:r>
    </w:p>
    <w:p w14:paraId="1A6E00CF">
      <w:pPr>
        <w:pStyle w:val="4"/>
        <w:spacing w:before="0" w:after="0" w:line="400" w:lineRule="exact"/>
        <w:rPr>
          <w:b w:val="0"/>
          <w:color w:val="auto"/>
          <w:sz w:val="21"/>
          <w:szCs w:val="21"/>
          <w:highlight w:val="none"/>
        </w:rPr>
      </w:pPr>
      <w:r>
        <w:rPr>
          <w:b w:val="0"/>
          <w:color w:val="auto"/>
          <w:sz w:val="21"/>
          <w:szCs w:val="21"/>
          <w:highlight w:val="none"/>
        </w:rPr>
        <w:t>3.</w:t>
      </w:r>
      <w:r>
        <w:rPr>
          <w:rFonts w:hint="eastAsia"/>
          <w:b w:val="0"/>
          <w:color w:val="auto"/>
          <w:sz w:val="21"/>
          <w:szCs w:val="21"/>
          <w:highlight w:val="none"/>
        </w:rPr>
        <w:t>7</w:t>
      </w:r>
      <w:r>
        <w:rPr>
          <w:b w:val="0"/>
          <w:color w:val="auto"/>
          <w:sz w:val="21"/>
          <w:szCs w:val="21"/>
          <w:highlight w:val="none"/>
        </w:rPr>
        <w:t>投标文件的澄清和</w:t>
      </w:r>
      <w:r>
        <w:rPr>
          <w:rFonts w:hint="eastAsia"/>
          <w:b w:val="0"/>
          <w:color w:val="auto"/>
          <w:sz w:val="21"/>
          <w:szCs w:val="21"/>
          <w:highlight w:val="none"/>
        </w:rPr>
        <w:t>说明</w:t>
      </w:r>
    </w:p>
    <w:p w14:paraId="3A177BD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4EB3089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3.7.2澄清和说明不得超出投标文件的范围或改变投标文件的实质性内容（算术性错误的修正除外）。投标人的书面澄清、说明属于投标文件的组成部分。</w:t>
      </w:r>
    </w:p>
    <w:p w14:paraId="458B593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3.7.3评标委员会不得暗示或诱导投标人作出澄清、说明，对投标人提交的澄清、说明有疑问的，可以要求投标人进一步澄清或说明，直至满足评标委员会的要求。</w:t>
      </w:r>
    </w:p>
    <w:p w14:paraId="53E3B19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3.7.4凡超出招标文件规定的或给委托人带来未曾要求的利益的变化、偏差或其他因素在评标时不予考虑。</w:t>
      </w:r>
    </w:p>
    <w:p w14:paraId="41DED881">
      <w:pPr>
        <w:pStyle w:val="4"/>
        <w:spacing w:before="0" w:after="0" w:line="400" w:lineRule="exact"/>
        <w:rPr>
          <w:b w:val="0"/>
          <w:color w:val="auto"/>
          <w:sz w:val="21"/>
          <w:szCs w:val="21"/>
          <w:highlight w:val="none"/>
        </w:rPr>
      </w:pPr>
      <w:r>
        <w:rPr>
          <w:b w:val="0"/>
          <w:color w:val="auto"/>
          <w:sz w:val="21"/>
          <w:szCs w:val="21"/>
          <w:highlight w:val="none"/>
        </w:rPr>
        <w:t>3.</w:t>
      </w:r>
      <w:r>
        <w:rPr>
          <w:rFonts w:hint="eastAsia"/>
          <w:b w:val="0"/>
          <w:color w:val="auto"/>
          <w:sz w:val="21"/>
          <w:szCs w:val="21"/>
          <w:highlight w:val="none"/>
        </w:rPr>
        <w:t>8不得否决投标的情形</w:t>
      </w:r>
    </w:p>
    <w:p w14:paraId="52166E9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投标文件存在第二章“投标人须知”第1.12.3项所列情形的，均视为细微偏差，评标委员会不得否决投标人的投标，应按照第二章“投标人须知”第1.12.4项规定的原则处理。</w:t>
      </w:r>
    </w:p>
    <w:p w14:paraId="0BA9C6F2">
      <w:pPr>
        <w:pStyle w:val="4"/>
        <w:spacing w:before="0" w:after="0" w:line="400" w:lineRule="exact"/>
        <w:rPr>
          <w:b w:val="0"/>
          <w:color w:val="auto"/>
          <w:sz w:val="21"/>
          <w:szCs w:val="21"/>
          <w:highlight w:val="none"/>
        </w:rPr>
      </w:pPr>
      <w:r>
        <w:rPr>
          <w:b w:val="0"/>
          <w:color w:val="auto"/>
          <w:sz w:val="21"/>
          <w:szCs w:val="21"/>
          <w:highlight w:val="none"/>
        </w:rPr>
        <w:t>3.</w:t>
      </w:r>
      <w:r>
        <w:rPr>
          <w:rFonts w:hint="eastAsia"/>
          <w:b w:val="0"/>
          <w:color w:val="auto"/>
          <w:sz w:val="21"/>
          <w:szCs w:val="21"/>
          <w:highlight w:val="none"/>
        </w:rPr>
        <w:t>9</w:t>
      </w:r>
      <w:r>
        <w:rPr>
          <w:b w:val="0"/>
          <w:color w:val="auto"/>
          <w:sz w:val="21"/>
          <w:szCs w:val="21"/>
          <w:highlight w:val="none"/>
        </w:rPr>
        <w:t>评标结果</w:t>
      </w:r>
    </w:p>
    <w:p w14:paraId="7F6CDA7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3.9.1除第二章“投标人须知”前附表授权直接确定中标人外，评标委员会按照得分由高到低的顺序推荐中标候选人，并标明排序。</w:t>
      </w:r>
    </w:p>
    <w:p w14:paraId="7470A08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3.9.2评标委员会完成评标后，应向招标人提交书面评标报告。</w:t>
      </w:r>
    </w:p>
    <w:p w14:paraId="78DAFE14">
      <w:pPr>
        <w:spacing w:line="400" w:lineRule="exact"/>
        <w:ind w:firstLine="420" w:firstLineChars="200"/>
        <w:rPr>
          <w:rFonts w:hint="eastAsia" w:ascii="宋体" w:hAnsi="宋体"/>
          <w:color w:val="auto"/>
          <w:szCs w:val="21"/>
          <w:highlight w:val="none"/>
        </w:rPr>
      </w:pPr>
    </w:p>
    <w:p w14:paraId="0ED826F0">
      <w:pPr>
        <w:spacing w:line="400" w:lineRule="exact"/>
        <w:ind w:firstLine="420" w:firstLineChars="200"/>
        <w:rPr>
          <w:rFonts w:hint="eastAsia" w:ascii="宋体" w:hAnsi="宋体"/>
          <w:color w:val="auto"/>
          <w:szCs w:val="21"/>
          <w:highlight w:val="none"/>
        </w:rPr>
      </w:pPr>
    </w:p>
    <w:p w14:paraId="34015B45">
      <w:pPr>
        <w:spacing w:line="400" w:lineRule="exact"/>
        <w:rPr>
          <w:rFonts w:hint="eastAsia"/>
          <w:color w:val="auto"/>
          <w:szCs w:val="21"/>
          <w:highlight w:val="none"/>
        </w:rPr>
      </w:pPr>
    </w:p>
    <w:p w14:paraId="121969DE">
      <w:pPr>
        <w:spacing w:line="400" w:lineRule="exact"/>
        <w:rPr>
          <w:rFonts w:hint="eastAsia"/>
          <w:color w:val="auto"/>
          <w:szCs w:val="21"/>
          <w:highlight w:val="none"/>
        </w:rPr>
      </w:pPr>
    </w:p>
    <w:p w14:paraId="5A02FB44">
      <w:pPr>
        <w:spacing w:line="400" w:lineRule="exact"/>
        <w:rPr>
          <w:rFonts w:hint="eastAsia"/>
          <w:color w:val="auto"/>
          <w:szCs w:val="21"/>
          <w:highlight w:val="none"/>
        </w:rPr>
      </w:pPr>
    </w:p>
    <w:p w14:paraId="3CE9B4BF">
      <w:pPr>
        <w:spacing w:line="400" w:lineRule="exact"/>
        <w:rPr>
          <w:rFonts w:hint="eastAsia"/>
          <w:color w:val="auto"/>
          <w:szCs w:val="21"/>
          <w:highlight w:val="none"/>
        </w:rPr>
      </w:pPr>
    </w:p>
    <w:p w14:paraId="3CEA04D3">
      <w:pPr>
        <w:shd w:val="clear" w:color="auto" w:fill="FFFFFF"/>
        <w:spacing w:line="384" w:lineRule="auto"/>
        <w:ind w:firstLine="620"/>
        <w:rPr>
          <w:rFonts w:hint="eastAsia" w:ascii="宋体" w:hAnsi="宋体" w:eastAsia="宋体" w:cs="宋体"/>
          <w:bCs/>
          <w:highlight w:val="none"/>
          <w:lang w:val="zh-CN"/>
        </w:rPr>
      </w:pPr>
    </w:p>
    <w:p w14:paraId="16302276">
      <w:pPr>
        <w:pageBreakBefore w:val="0"/>
        <w:widowControl/>
        <w:shd w:val="clear" w:fill="FFFFFF" w:themeFill="background1"/>
        <w:kinsoku/>
        <w:overflowPunct/>
        <w:topLinePunct w:val="0"/>
        <w:bidi w:val="0"/>
        <w:adjustRightInd w:val="0"/>
        <w:snapToGrid w:val="0"/>
        <w:spacing w:line="360" w:lineRule="exact"/>
        <w:ind w:left="0" w:leftChars="0" w:right="0" w:firstLine="0" w:firstLineChars="0"/>
        <w:jc w:val="left"/>
        <w:rPr>
          <w:rFonts w:hint="eastAsia" w:ascii="宋体" w:hAnsi="宋体" w:eastAsia="宋体" w:cs="宋体"/>
          <w:b/>
          <w:bCs w:val="0"/>
          <w:sz w:val="21"/>
          <w:szCs w:val="21"/>
          <w:highlight w:val="none"/>
          <w:u w:val="none"/>
        </w:rPr>
      </w:pPr>
      <w:r>
        <w:rPr>
          <w:rFonts w:hint="eastAsia" w:ascii="宋体" w:hAnsi="宋体" w:eastAsia="宋体" w:cs="宋体"/>
          <w:b/>
          <w:bCs w:val="0"/>
          <w:sz w:val="21"/>
          <w:szCs w:val="21"/>
          <w:highlight w:val="none"/>
          <w:u w:val="none"/>
          <w:lang w:val="en-US" w:eastAsia="zh-CN"/>
        </w:rPr>
        <w:t>7.</w:t>
      </w:r>
      <w:r>
        <w:rPr>
          <w:rFonts w:hint="eastAsia" w:ascii="宋体" w:hAnsi="宋体" w:eastAsia="宋体" w:cs="宋体"/>
          <w:b/>
          <w:bCs w:val="0"/>
          <w:sz w:val="21"/>
          <w:szCs w:val="21"/>
          <w:highlight w:val="none"/>
          <w:u w:val="none"/>
        </w:rPr>
        <w:t>联系方式</w:t>
      </w:r>
    </w:p>
    <w:tbl>
      <w:tblPr>
        <w:tblStyle w:val="13"/>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526"/>
        <w:gridCol w:w="4762"/>
      </w:tblGrid>
      <w:tr w14:paraId="443C09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3D4E686">
            <w:pPr>
              <w:shd w:val="clear"/>
              <w:autoSpaceDE w:val="0"/>
              <w:autoSpaceDN w:val="0"/>
              <w:adjustRightInd w:val="0"/>
              <w:spacing w:line="360" w:lineRule="auto"/>
              <w:jc w:val="left"/>
              <w:rPr>
                <w:rFonts w:ascii="宋体" w:hAnsi="宋体"/>
                <w:szCs w:val="21"/>
                <w:highlight w:val="none"/>
              </w:rPr>
            </w:pPr>
            <w:r>
              <w:rPr>
                <w:rFonts w:hint="eastAsia" w:ascii="宋体" w:hAnsi="宋体"/>
                <w:szCs w:val="21"/>
                <w:highlight w:val="none"/>
              </w:rPr>
              <w:t>招标人</w:t>
            </w:r>
            <w:r>
              <w:rPr>
                <w:rFonts w:ascii="宋体" w:hAnsi="宋体"/>
                <w:szCs w:val="21"/>
                <w:highlight w:val="none"/>
              </w:rPr>
              <w:t xml:space="preserve">: </w:t>
            </w:r>
            <w:r>
              <w:rPr>
                <w:rFonts w:hint="eastAsia" w:ascii="宋体" w:hAnsi="宋体" w:eastAsia="宋体" w:cs="宋体"/>
                <w:kern w:val="0"/>
                <w:szCs w:val="21"/>
                <w:highlight w:val="none"/>
                <w:lang w:val="zh-CN" w:bidi="zh-CN"/>
              </w:rPr>
              <w:t>榆树市交通运输局公路管理段</w:t>
            </w:r>
          </w:p>
        </w:tc>
        <w:tc>
          <w:tcPr>
            <w:tcW w:w="4762" w:type="dxa"/>
            <w:tcBorders>
              <w:top w:val="single" w:color="FFFFFF" w:sz="4" w:space="0"/>
              <w:left w:val="single" w:color="FFFFFF" w:sz="4" w:space="0"/>
              <w:bottom w:val="single" w:color="FFFFFF" w:sz="4" w:space="0"/>
              <w:right w:val="single" w:color="FFFFFF" w:sz="4" w:space="0"/>
            </w:tcBorders>
          </w:tcPr>
          <w:p w14:paraId="0664A4C5">
            <w:pPr>
              <w:shd w:val="clear"/>
              <w:autoSpaceDE w:val="0"/>
              <w:autoSpaceDN w:val="0"/>
              <w:adjustRightInd w:val="0"/>
              <w:spacing w:line="360" w:lineRule="auto"/>
              <w:ind w:left="1470" w:hanging="1470" w:hangingChars="700"/>
              <w:rPr>
                <w:rFonts w:hint="eastAsia" w:eastAsia="宋体"/>
                <w:highlight w:val="none"/>
                <w:lang w:eastAsia="zh-CN"/>
              </w:rPr>
            </w:pPr>
            <w:r>
              <w:rPr>
                <w:rFonts w:hint="eastAsia" w:ascii="宋体" w:hAnsi="宋体"/>
                <w:szCs w:val="21"/>
                <w:highlight w:val="none"/>
              </w:rPr>
              <w:t>招标代理机构</w:t>
            </w:r>
            <w:r>
              <w:rPr>
                <w:rFonts w:ascii="宋体" w:hAnsi="宋体"/>
                <w:szCs w:val="21"/>
                <w:highlight w:val="none"/>
              </w:rPr>
              <w:t>:</w:t>
            </w:r>
            <w:r>
              <w:rPr>
                <w:rFonts w:hint="eastAsia" w:ascii="宋体" w:hAnsi="宋体" w:eastAsia="宋体" w:cs="宋体"/>
                <w:szCs w:val="21"/>
                <w:highlight w:val="none"/>
                <w:lang w:val="zh-CN" w:eastAsia="zh-CN"/>
              </w:rPr>
              <w:t>吉林省</w:t>
            </w:r>
            <w:r>
              <w:rPr>
                <w:rFonts w:hint="eastAsia" w:ascii="宋体" w:hAnsi="宋体" w:eastAsia="宋体" w:cs="宋体"/>
                <w:szCs w:val="21"/>
                <w:highlight w:val="none"/>
                <w:lang w:val="en-US" w:eastAsia="zh-CN"/>
              </w:rPr>
              <w:t>国渡项目管理有限公司</w:t>
            </w:r>
          </w:p>
        </w:tc>
      </w:tr>
      <w:tr w14:paraId="495DAF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91EC822">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地址: </w:t>
            </w:r>
            <w:r>
              <w:rPr>
                <w:rFonts w:hint="eastAsia" w:ascii="宋体" w:hAnsi="宋体" w:eastAsia="宋体" w:cs="宋体"/>
                <w:kern w:val="0"/>
                <w:szCs w:val="21"/>
                <w:highlight w:val="none"/>
                <w:lang w:val="zh-CN" w:bidi="zh-CN"/>
              </w:rPr>
              <w:t>榆树市府前路</w:t>
            </w:r>
          </w:p>
        </w:tc>
        <w:tc>
          <w:tcPr>
            <w:tcW w:w="4762" w:type="dxa"/>
            <w:tcBorders>
              <w:top w:val="single" w:color="FFFFFF" w:sz="4" w:space="0"/>
              <w:left w:val="single" w:color="FFFFFF" w:sz="4" w:space="0"/>
              <w:bottom w:val="single" w:color="FFFFFF" w:sz="4" w:space="0"/>
              <w:right w:val="single" w:color="FFFFFF" w:sz="4" w:space="0"/>
            </w:tcBorders>
          </w:tcPr>
          <w:p w14:paraId="4D51D14B">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地址：</w:t>
            </w:r>
            <w:r>
              <w:rPr>
                <w:rFonts w:hint="eastAsia" w:ascii="宋体" w:hAnsi="宋体" w:eastAsia="宋体" w:cs="宋体"/>
                <w:szCs w:val="21"/>
                <w:highlight w:val="none"/>
                <w:lang w:val="en-US" w:eastAsia="zh-CN"/>
              </w:rPr>
              <w:t>长春市南关区生态大街与和美路交汇中懋天地8号楼1105室</w:t>
            </w:r>
          </w:p>
        </w:tc>
      </w:tr>
      <w:tr w14:paraId="1BA5C3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0E683B2">
            <w:pPr>
              <w:shd w:val="clear"/>
              <w:autoSpaceDE w:val="0"/>
              <w:autoSpaceDN w:val="0"/>
              <w:adjustRightInd w:val="0"/>
              <w:spacing w:line="360" w:lineRule="auto"/>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邮编: 13</w:t>
            </w:r>
            <w:r>
              <w:rPr>
                <w:rFonts w:hint="eastAsia" w:ascii="宋体" w:hAnsi="宋体" w:eastAsia="宋体" w:cs="Times New Roman"/>
                <w:szCs w:val="21"/>
                <w:highlight w:val="none"/>
                <w:lang w:val="en-US" w:eastAsia="zh-CN"/>
              </w:rPr>
              <w:t>0400</w:t>
            </w:r>
          </w:p>
        </w:tc>
        <w:tc>
          <w:tcPr>
            <w:tcW w:w="4762" w:type="dxa"/>
            <w:tcBorders>
              <w:top w:val="single" w:color="FFFFFF" w:sz="4" w:space="0"/>
              <w:left w:val="single" w:color="FFFFFF" w:sz="4" w:space="0"/>
              <w:bottom w:val="single" w:color="FFFFFF" w:sz="4" w:space="0"/>
              <w:right w:val="single" w:color="FFFFFF" w:sz="4" w:space="0"/>
            </w:tcBorders>
          </w:tcPr>
          <w:p w14:paraId="2452F3C5">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邮    编: 130000</w:t>
            </w:r>
          </w:p>
        </w:tc>
      </w:tr>
      <w:tr w14:paraId="1DB46D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5CF69664">
            <w:pPr>
              <w:shd w:val="clear"/>
              <w:autoSpaceDE w:val="0"/>
              <w:autoSpaceDN w:val="0"/>
              <w:adjustRightInd w:val="0"/>
              <w:spacing w:line="360" w:lineRule="auto"/>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 xml:space="preserve">联 系 人: </w:t>
            </w:r>
            <w:r>
              <w:rPr>
                <w:rFonts w:hint="eastAsia" w:ascii="宋体" w:hAnsi="宋体" w:eastAsia="宋体" w:cs="宋体"/>
                <w:kern w:val="0"/>
                <w:szCs w:val="21"/>
                <w:highlight w:val="none"/>
                <w:lang w:val="en-US" w:eastAsia="zh-CN" w:bidi="zh-CN"/>
              </w:rPr>
              <w:t>毕云龙</w:t>
            </w:r>
          </w:p>
        </w:tc>
        <w:tc>
          <w:tcPr>
            <w:tcW w:w="4762" w:type="dxa"/>
            <w:tcBorders>
              <w:top w:val="single" w:color="FFFFFF" w:sz="4" w:space="0"/>
              <w:left w:val="single" w:color="FFFFFF" w:sz="4" w:space="0"/>
              <w:bottom w:val="single" w:color="FFFFFF" w:sz="4" w:space="0"/>
              <w:right w:val="single" w:color="FFFFFF" w:sz="4" w:space="0"/>
            </w:tcBorders>
          </w:tcPr>
          <w:p w14:paraId="5275D0C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联 系 人: </w:t>
            </w:r>
            <w:r>
              <w:rPr>
                <w:rFonts w:hint="eastAsia" w:ascii="宋体" w:hAnsi="宋体" w:eastAsia="宋体" w:cs="宋体"/>
                <w:szCs w:val="21"/>
                <w:highlight w:val="none"/>
                <w:lang w:val="en-US" w:eastAsia="zh-CN"/>
              </w:rPr>
              <w:t>孙菲</w:t>
            </w:r>
          </w:p>
        </w:tc>
      </w:tr>
      <w:tr w14:paraId="669890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2DD699F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电    话: </w:t>
            </w:r>
            <w:r>
              <w:rPr>
                <w:rFonts w:hint="eastAsia" w:ascii="宋体" w:hAnsi="宋体" w:eastAsia="宋体" w:cs="宋体"/>
                <w:kern w:val="0"/>
                <w:szCs w:val="21"/>
                <w:highlight w:val="none"/>
                <w:lang w:val="en-US" w:eastAsia="zh-CN" w:bidi="zh-CN"/>
              </w:rPr>
              <w:t>18043580899</w:t>
            </w:r>
          </w:p>
        </w:tc>
        <w:tc>
          <w:tcPr>
            <w:tcW w:w="4762" w:type="dxa"/>
            <w:tcBorders>
              <w:top w:val="single" w:color="FFFFFF" w:sz="4" w:space="0"/>
              <w:left w:val="single" w:color="FFFFFF" w:sz="4" w:space="0"/>
              <w:bottom w:val="single" w:color="FFFFFF" w:sz="4" w:space="0"/>
              <w:right w:val="single" w:color="FFFFFF" w:sz="4" w:space="0"/>
            </w:tcBorders>
          </w:tcPr>
          <w:p w14:paraId="0F5CCE1F">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eastAsia="宋体" w:cs="宋体"/>
                <w:szCs w:val="21"/>
                <w:highlight w:val="none"/>
                <w:lang w:val="en-US" w:eastAsia="zh-CN"/>
              </w:rPr>
              <w:t>0431-80546608</w:t>
            </w:r>
          </w:p>
        </w:tc>
      </w:tr>
    </w:tbl>
    <w:p w14:paraId="7AC41C83">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u w:val="none"/>
        </w:rPr>
      </w:pPr>
    </w:p>
    <w:p w14:paraId="24CE23E6">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u w:val="none"/>
        </w:rPr>
        <w:t>本关键内容公开时间至投标截止时间10日前结束。</w:t>
      </w:r>
    </w:p>
    <w:p w14:paraId="2801AB9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David">
    <w:altName w:val="Segoe UI Light"/>
    <w:panose1 w:val="020E0502060401010101"/>
    <w:charset w:val="B1"/>
    <w:family w:val="swiss"/>
    <w:pitch w:val="default"/>
    <w:sig w:usb0="00000000" w:usb1="00000000" w:usb2="00000000" w:usb3="00000000" w:csb0="00000020" w:csb1="00200000"/>
  </w:font>
  <w:font w:name="Segoe UI Light">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E98A">
    <w:pPr>
      <w:pStyle w:val="9"/>
      <w:framePr w:wrap="around" w:vAnchor="text" w:hAnchor="margin" w:xAlign="center" w:y="1"/>
      <w:rPr>
        <w:rStyle w:val="16"/>
        <w:rFonts w:hint="eastAsia" w:ascii="仿宋_GB2312" w:eastAsia="仿宋_GB2312"/>
      </w:rPr>
    </w:pPr>
    <w:r>
      <w:rPr>
        <w:rFonts w:hint="eastAsia" w:ascii="仿宋_GB2312" w:eastAsia="仿宋_GB2312"/>
      </w:rPr>
      <w:fldChar w:fldCharType="begin"/>
    </w:r>
    <w:r>
      <w:rPr>
        <w:rStyle w:val="16"/>
        <w:rFonts w:hint="eastAsia" w:ascii="仿宋_GB2312" w:eastAsia="仿宋_GB2312"/>
        <w:highlight w:val="white"/>
      </w:rPr>
      <w:instrText xml:space="preserve">PAGE  </w:instrText>
    </w:r>
    <w:r>
      <w:rPr>
        <w:rFonts w:hint="eastAsia" w:ascii="仿宋_GB2312" w:eastAsia="仿宋_GB2312"/>
      </w:rPr>
      <w:fldChar w:fldCharType="separate"/>
    </w:r>
    <w:r>
      <w:rPr>
        <w:rStyle w:val="16"/>
        <w:rFonts w:ascii="仿宋_GB2312" w:eastAsia="仿宋_GB2312"/>
        <w:highlight w:val="white"/>
      </w:rPr>
      <w:t>44</w:t>
    </w:r>
    <w:r>
      <w:rPr>
        <w:rFonts w:hint="eastAsia" w:ascii="仿宋_GB2312" w:eastAsia="仿宋_GB2312"/>
      </w:rPr>
      <w:fldChar w:fldCharType="end"/>
    </w:r>
  </w:p>
  <w:p w14:paraId="0ECC2E85">
    <w:pPr>
      <w:pStyle w:val="9"/>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4F14B980">
      <w:pPr>
        <w:pStyle w:val="11"/>
        <w:spacing w:line="320" w:lineRule="exact"/>
        <w:jc w:val="both"/>
        <w:rPr>
          <w:rFonts w:ascii="楷体" w:hAnsi="楷体" w:eastAsia="楷体"/>
          <w:sz w:val="21"/>
          <w:szCs w:val="21"/>
        </w:rPr>
      </w:pPr>
      <w:r>
        <w:rPr>
          <w:rStyle w:val="17"/>
          <w:rFonts w:ascii="楷体" w:hAnsi="楷体" w:eastAsia="楷体"/>
          <w:sz w:val="21"/>
          <w:szCs w:val="21"/>
        </w:rPr>
        <w:footnoteRef/>
      </w:r>
      <w:r>
        <w:rPr>
          <w:rFonts w:hint="eastAsia" w:ascii="楷体" w:hAnsi="楷体" w:eastAsia="楷体"/>
          <w:sz w:val="21"/>
          <w:szCs w:val="21"/>
        </w:rPr>
        <w:t>a.“投标人须知前附表”用于进一步明确正文中的未尽事宜。“投标人须知正文”是《公路工程标准施工监理招标文件》（2018年版）中的原文引用。“投标人须知前附表”与“投标人须知正文”不一致之处，以“投标人须知前附表”为准。</w:t>
      </w:r>
    </w:p>
    <w:p w14:paraId="4CC37266">
      <w:pPr>
        <w:pStyle w:val="11"/>
        <w:spacing w:line="320" w:lineRule="exact"/>
        <w:ind w:firstLine="210" w:firstLineChars="100"/>
        <w:jc w:val="both"/>
        <w:rPr>
          <w:rFonts w:ascii="楷体" w:hAnsi="楷体" w:eastAsia="楷体"/>
          <w:sz w:val="21"/>
          <w:szCs w:val="21"/>
        </w:rPr>
      </w:pPr>
      <w:r>
        <w:rPr>
          <w:rFonts w:hint="eastAsia" w:ascii="楷体" w:hAnsi="楷体" w:eastAsia="楷体"/>
          <w:sz w:val="21"/>
          <w:szCs w:val="21"/>
        </w:rPr>
        <w:t>b.“投标人须知前附表”中的附录表格同属“投标人须知前附表”内容，具有同等效力。</w:t>
      </w:r>
    </w:p>
    <w:p w14:paraId="0E64B31B">
      <w:pPr>
        <w:pStyle w:val="11"/>
        <w:rPr>
          <w:rFonts w:hint="eastAsia"/>
        </w:rPr>
      </w:pPr>
    </w:p>
  </w:footnote>
  <w:footnote w:id="1">
    <w:p w14:paraId="280DCF58">
      <w:pPr>
        <w:pStyle w:val="11"/>
        <w:rPr>
          <w:rFonts w:hint="eastAsia" w:eastAsia="宋体"/>
          <w:highlight w:val="none"/>
          <w:lang w:eastAsia="zh-CN"/>
        </w:rPr>
      </w:pPr>
      <w:r>
        <w:rPr>
          <w:rStyle w:val="17"/>
          <w:highlight w:val="none"/>
        </w:rPr>
        <w:footnoteRef/>
      </w:r>
      <w:r>
        <w:rPr>
          <w:rFonts w:hint="eastAsia"/>
          <w:highlight w:val="none"/>
          <w:lang w:val="en-US" w:eastAsia="zh-CN"/>
        </w:rPr>
        <w:t>两阶段验收工程以交工时间为准，一阶段验收工程以交工或竣工时间为准</w:t>
      </w:r>
      <w:r>
        <w:rPr>
          <w:rFonts w:hint="eastAsia"/>
          <w:highlight w:val="none"/>
        </w:rPr>
        <w:t>。</w:t>
      </w:r>
    </w:p>
  </w:footnote>
  <w:footnote w:id="2">
    <w:p w14:paraId="17101331">
      <w:pPr>
        <w:pStyle w:val="11"/>
        <w:rPr>
          <w:rFonts w:hint="eastAsia" w:eastAsia="宋体"/>
          <w:lang w:eastAsia="zh-CN"/>
        </w:rPr>
      </w:pPr>
      <w:r>
        <w:rPr>
          <w:rStyle w:val="17"/>
        </w:rPr>
        <w:footnoteRef/>
      </w:r>
      <w:bookmarkStart w:id="21" w:name="OLE_LINK74"/>
      <w:bookmarkStart w:id="22" w:name="OLE_LINK75"/>
      <w:r>
        <w:rPr>
          <w:rFonts w:hint="eastAsia" w:ascii="BatangChe" w:hAnsi="BatangChe"/>
          <w:b/>
        </w:rPr>
        <w:t>“</w:t>
      </w:r>
      <w:r>
        <w:rPr>
          <w:rFonts w:hint="eastAsia" w:ascii="BatangChe" w:hAnsi="BatangChe"/>
          <w:b/>
          <w:spacing w:val="-6"/>
        </w:rPr>
        <w:t>投标人自有人员</w:t>
      </w:r>
      <w:r>
        <w:rPr>
          <w:rFonts w:hint="eastAsia" w:ascii="BatangChe" w:hAnsi="BatangChe" w:eastAsia="宋体" w:cs="Times New Roman"/>
          <w:b/>
          <w:spacing w:val="-6"/>
        </w:rPr>
        <w:t>”</w:t>
      </w:r>
      <w:r>
        <w:rPr>
          <w:rFonts w:hint="eastAsia" w:ascii="BatangChe" w:hAnsi="BatangChe" w:eastAsia="宋体" w:cs="Times New Roman"/>
          <w:b/>
          <w:spacing w:val="-6"/>
          <w:lang w:val="zh-CN"/>
        </w:rPr>
        <w:t>指投标人为其申报社会保险登记，并为其缴纳社会保险费的人员。</w:t>
      </w:r>
      <w:r>
        <w:rPr>
          <w:rFonts w:hint="eastAsia" w:ascii="BatangChe" w:hAnsi="BatangChe" w:eastAsia="宋体" w:cs="Times New Roman"/>
          <w:b/>
          <w:spacing w:val="-6"/>
        </w:rPr>
        <w:t>如</w:t>
      </w:r>
      <w:r>
        <w:rPr>
          <w:rFonts w:hint="eastAsia" w:ascii="BatangChe" w:hAnsi="BatangChe"/>
          <w:b/>
          <w:spacing w:val="-6"/>
        </w:rPr>
        <w:t>果投标人属事业法人单位，则由投标人的上级行政主管部门出具拟委任的总监理工程师是投标人单位职工的有效书面证明材料。</w:t>
      </w:r>
      <w:bookmarkEnd w:id="21"/>
      <w:bookmarkEnd w:id="22"/>
      <w:r>
        <w:rPr>
          <w:rFonts w:hint="eastAsia" w:ascii="BatangChe" w:hAnsi="BatangChe"/>
          <w:b/>
          <w:spacing w:val="-6"/>
          <w:lang w:eastAsia="zh-CN"/>
        </w:rPr>
        <w:t>已退休人员，应附投标人与其签订的劳动合同。</w:t>
      </w:r>
    </w:p>
  </w:footnote>
  <w:footnote w:id="3">
    <w:p w14:paraId="34A18204">
      <w:pPr>
        <w:pStyle w:val="11"/>
      </w:pPr>
      <w:r>
        <w:rPr>
          <w:rStyle w:val="17"/>
        </w:rPr>
        <w:footnoteRef/>
      </w:r>
      <w:bookmarkStart w:id="23" w:name="OLE_LINK76"/>
      <w:bookmarkStart w:id="24" w:name="OLE_LINK77"/>
      <w:r>
        <w:rPr>
          <w:rFonts w:hint="eastAsia" w:ascii="BatangChe" w:hAnsi="BatangChe"/>
          <w:b/>
          <w:spacing w:val="-6"/>
        </w:rPr>
        <w:t>公路工程相关专业职称包括公路工程、桥梁工程、公路与桥梁工程、交通土建、隧道（地下结构）工程、交通工程等专业职称。如职称证上无专业，则以毕业证上的专业为准。</w:t>
      </w:r>
      <w:bookmarkEnd w:id="23"/>
      <w:bookmarkEnd w:id="24"/>
    </w:p>
  </w:footnote>
  <w:footnote w:id="4">
    <w:p w14:paraId="4C154DF3">
      <w:pPr>
        <w:pStyle w:val="11"/>
        <w:rPr>
          <w:rFonts w:ascii="楷体" w:hAnsi="楷体" w:eastAsia="楷体"/>
        </w:rPr>
      </w:pPr>
      <w:r>
        <w:rPr>
          <w:rStyle w:val="17"/>
          <w:rFonts w:ascii="楷体" w:hAnsi="楷体" w:eastAsia="楷体"/>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5">
    <w:p w14:paraId="2E03E8B9">
      <w:pPr>
        <w:pStyle w:val="11"/>
        <w:rPr>
          <w:rFonts w:ascii="楷体" w:hAnsi="楷体" w:eastAsia="楷体"/>
          <w:highlight w:val="none"/>
        </w:rPr>
      </w:pPr>
      <w:r>
        <w:rPr>
          <w:rStyle w:val="17"/>
          <w:rFonts w:ascii="楷体" w:hAnsi="楷体" w:eastAsia="楷体"/>
          <w:highlight w:val="none"/>
        </w:rPr>
        <w:footnoteRef/>
      </w:r>
      <w:r>
        <w:rPr>
          <w:rFonts w:hint="eastAsia" w:ascii="楷体" w:hAnsi="楷体" w:eastAsia="楷体"/>
          <w:highlight w:val="none"/>
        </w:rPr>
        <w:t>按照“三证合一”或“五证合一”登记制度进行登记的，可不具备组织机构代码证。</w:t>
      </w:r>
    </w:p>
  </w:footnote>
  <w:footnote w:id="6">
    <w:p w14:paraId="49F841A1">
      <w:pPr>
        <w:pStyle w:val="11"/>
        <w:rPr>
          <w:rFonts w:ascii="楷体" w:hAnsi="楷体" w:eastAsia="楷体"/>
          <w:color w:val="FF0000"/>
          <w:highlight w:val="none"/>
        </w:rPr>
      </w:pPr>
      <w:r>
        <w:rPr>
          <w:rStyle w:val="17"/>
          <w:rFonts w:ascii="楷体" w:hAnsi="楷体" w:eastAsia="楷体"/>
          <w:highlight w:val="none"/>
        </w:rPr>
        <w:footnoteRef/>
      </w:r>
      <w:r>
        <w:rPr>
          <w:rFonts w:hint="eastAsia" w:ascii="楷体" w:hAnsi="楷体" w:eastAsia="楷体"/>
          <w:highlight w:val="none"/>
        </w:rPr>
        <w:t>本款规定仅适用于根据《关于发布公路工程从业企业资质名录的通知》（厅公路字[2011]114号）要求，招标人应通过名录对投标人资质条件进行审核的公路施工监理企业。</w:t>
      </w:r>
    </w:p>
  </w:footnote>
  <w:footnote w:id="7">
    <w:p w14:paraId="5395A004">
      <w:pPr>
        <w:pStyle w:val="11"/>
        <w:jc w:val="both"/>
        <w:rPr>
          <w:rFonts w:ascii="楷体" w:hAnsi="楷体" w:eastAsia="楷体"/>
        </w:rPr>
      </w:pPr>
      <w:r>
        <w:rPr>
          <w:rStyle w:val="17"/>
          <w:rFonts w:ascii="楷体" w:hAnsi="楷体" w:eastAsia="楷体"/>
        </w:rPr>
        <w:footnoteRef/>
      </w:r>
      <w:r>
        <w:rPr>
          <w:rFonts w:hint="eastAsia" w:ascii="楷体" w:hAnsi="楷体" w:eastAsia="楷体"/>
        </w:rPr>
        <w:t>各评分因素（评标价</w:t>
      </w:r>
      <w:r>
        <w:rPr>
          <w:rFonts w:hint="eastAsia" w:ascii="楷体" w:hAnsi="楷体" w:eastAsia="楷体"/>
          <w:highlight w:val="none"/>
        </w:rPr>
        <w:t>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46A36"/>
    <w:multiLevelType w:val="multilevel"/>
    <w:tmpl w:val="1D946A3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9741C4A"/>
    <w:multiLevelType w:val="multilevel"/>
    <w:tmpl w:val="79741C4A"/>
    <w:lvl w:ilvl="0" w:tentative="0">
      <w:start w:val="1"/>
      <w:numFmt w:val="decimal"/>
      <w:suff w:val="nothing"/>
      <w:lvlText w:val="（%1）"/>
      <w:lvlJc w:val="left"/>
      <w:pPr>
        <w:ind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6"/>
    <w:footnote w:id="1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753D5"/>
    <w:rsid w:val="0FE23607"/>
    <w:rsid w:val="567753D5"/>
    <w:rsid w:val="714C380E"/>
    <w:rsid w:val="7A4A2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rPr>
      <w:sz w:val="28"/>
      <w:szCs w:val="24"/>
    </w:rPr>
  </w:style>
  <w:style w:type="paragraph" w:styleId="6">
    <w:name w:val="Quote"/>
    <w:basedOn w:val="1"/>
    <w:next w:val="1"/>
    <w:qFormat/>
    <w:uiPriority w:val="0"/>
    <w:rPr>
      <w:i/>
      <w:iCs/>
      <w:color w:val="000000"/>
      <w:szCs w:val="22"/>
    </w:rPr>
  </w:style>
  <w:style w:type="paragraph" w:styleId="7">
    <w:name w:val="Plain Text"/>
    <w:basedOn w:val="1"/>
    <w:qFormat/>
    <w:uiPriority w:val="0"/>
    <w:rPr>
      <w:rFonts w:ascii="宋体" w:hAnsi="Courier New"/>
      <w:szCs w:val="21"/>
    </w:rPr>
  </w:style>
  <w:style w:type="paragraph" w:styleId="8">
    <w:name w:val="Date"/>
    <w:basedOn w:val="1"/>
    <w:next w:val="1"/>
    <w:uiPriority w:val="0"/>
    <w:rPr>
      <w:rFonts w:ascii="宋体"/>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unhideWhenUsed/>
    <w:qFormat/>
    <w:uiPriority w:val="0"/>
    <w:pPr>
      <w:snapToGrid w:val="0"/>
      <w:jc w:val="left"/>
    </w:pPr>
    <w:rPr>
      <w:kern w:val="0"/>
      <w:sz w:val="18"/>
      <w:szCs w:val="18"/>
    </w:rPr>
  </w:style>
  <w:style w:type="paragraph" w:styleId="12">
    <w:name w:val="Normal (Web)"/>
    <w:basedOn w:val="1"/>
    <w:uiPriority w:val="99"/>
    <w:pPr>
      <w:widowControl/>
      <w:spacing w:before="100" w:beforeAutospacing="1" w:after="100" w:afterAutospacing="1"/>
      <w:jc w:val="left"/>
    </w:pPr>
    <w:rPr>
      <w:rFonts w:ascii="宋体" w:hAnsi="宋体" w:cs="Arial"/>
      <w:color w:val="0000FF"/>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otnote reference"/>
    <w:basedOn w:val="15"/>
    <w:qFormat/>
    <w:uiPriority w:val="0"/>
    <w:rPr>
      <w:vertAlign w:val="superscript"/>
    </w:rPr>
  </w:style>
  <w:style w:type="paragraph" w:customStyle="1" w:styleId="18">
    <w:name w:val="其他"/>
    <w:basedOn w:val="1"/>
    <w:qFormat/>
    <w:uiPriority w:val="0"/>
    <w:pPr>
      <w:shd w:val="clear" w:color="auto" w:fill="FFFFFF"/>
      <w:spacing w:line="430" w:lineRule="auto"/>
      <w:ind w:firstLine="400"/>
      <w:jc w:val="distribute"/>
    </w:pPr>
    <w:rPr>
      <w:rFonts w:ascii="宋体" w:hAnsi="宋体" w:cs="宋体"/>
      <w:kern w:val="0"/>
      <w:sz w:val="20"/>
      <w:szCs w:val="20"/>
      <w:lang w:val="zh-CN" w:bidi="zh-CN"/>
    </w:rPr>
  </w:style>
  <w:style w:type="paragraph" w:customStyle="1" w:styleId="19">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13313</Words>
  <Characters>14440</Characters>
  <Lines>0</Lines>
  <Paragraphs>0</Paragraphs>
  <TotalTime>0</TotalTime>
  <ScaleCrop>false</ScaleCrop>
  <LinksUpToDate>false</LinksUpToDate>
  <CharactersWithSpaces>14643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2025-09-26T03:24:00Z</dcterms:created>
  <dc:creator>guodu</dc:creator>
  <cp:lastModifiedBy>Administrator</cp:lastModifiedBy>
  <dcterms:modified xsi:type="dcterms:W3CDTF">2025-09-26T14:40:22Z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CEFA047C9CBC40498E310CDFE2215A78_11</vt:lpwstr>
  </property>
  <property fmtid="{D5CDD505-2E9C-101B-9397-08002B2CF9AE}" pid="4" name="KSOTemplateDocerSaveRecord">
    <vt:lpwstr>eyJoZGlkIjoiZDU5MGQ0NjA4ODU4MThmMzNlYmRhNTFkYjhiNzRiYmEiLCJ1c2VySWQiOiI0MzM2MjcxMzAifQ==</vt:lpwstr>
  </property>
</Properties>
</file>