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E0C2C">
      <w:pPr>
        <w:rPr>
          <w:rFonts w:hint="default"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附件：</w:t>
      </w:r>
    </w:p>
    <w:p w14:paraId="16C281F4">
      <w:pPr>
        <w:jc w:val="center"/>
        <w:rPr>
          <w:rFonts w:hint="eastAsia"/>
          <w:b/>
          <w:bCs/>
          <w:sz w:val="36"/>
          <w:szCs w:val="36"/>
          <w:lang w:val="zh-CN" w:eastAsia="zh-CN"/>
        </w:rPr>
      </w:pPr>
      <w:r>
        <w:rPr>
          <w:rFonts w:hint="eastAsia"/>
          <w:b/>
          <w:bCs/>
          <w:sz w:val="36"/>
          <w:szCs w:val="36"/>
          <w:lang w:val="en-US" w:eastAsia="zh-CN"/>
        </w:rPr>
        <w:t>采购</w:t>
      </w:r>
      <w:r>
        <w:rPr>
          <w:rFonts w:hint="eastAsia"/>
          <w:b/>
          <w:bCs/>
          <w:sz w:val="36"/>
          <w:szCs w:val="36"/>
          <w:lang w:val="zh-CN" w:eastAsia="zh-CN"/>
        </w:rPr>
        <w:t>计划明细表</w:t>
      </w:r>
    </w:p>
    <w:p w14:paraId="4CCC2E97">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招标项目名称：</w:t>
      </w:r>
      <w:r>
        <w:rPr>
          <w:rFonts w:hint="eastAsia" w:ascii="宋体" w:hAnsi="宋体" w:cs="宋体"/>
          <w:kern w:val="0"/>
          <w:szCs w:val="21"/>
          <w:lang w:eastAsia="zh-CN"/>
        </w:rPr>
        <w:t>榆树市</w:t>
      </w:r>
      <w:r>
        <w:rPr>
          <w:rFonts w:hint="eastAsia" w:ascii="宋体" w:hAnsi="宋体" w:cs="宋体"/>
          <w:kern w:val="0"/>
          <w:szCs w:val="21"/>
        </w:rPr>
        <w:t>物业管理办公室房屋维修资金存放银行选择</w:t>
      </w:r>
    </w:p>
    <w:p w14:paraId="3DE8B52A">
      <w:pPr>
        <w:spacing w:line="360" w:lineRule="auto"/>
        <w:ind w:firstLine="420" w:firstLineChars="200"/>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标段划分：</w:t>
      </w:r>
      <w:r>
        <w:rPr>
          <w:rFonts w:hint="eastAsia" w:ascii="宋体" w:hAnsi="宋体" w:cs="宋体"/>
          <w:szCs w:val="21"/>
          <w:lang w:val="en-US" w:eastAsia="zh-CN"/>
        </w:rPr>
        <w:t>1</w:t>
      </w:r>
      <w:r>
        <w:rPr>
          <w:rFonts w:hint="eastAsia" w:ascii="宋体" w:hAnsi="宋体" w:cs="宋体"/>
          <w:szCs w:val="21"/>
        </w:rPr>
        <w:t>个标段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2765"/>
        <w:gridCol w:w="2940"/>
        <w:gridCol w:w="869"/>
        <w:gridCol w:w="1373"/>
      </w:tblGrid>
      <w:tr w14:paraId="3F48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610" w:type="dxa"/>
            <w:noWrap w:val="0"/>
            <w:vAlign w:val="center"/>
          </w:tcPr>
          <w:p w14:paraId="3EBF5102">
            <w:pPr>
              <w:spacing w:line="360" w:lineRule="auto"/>
              <w:jc w:val="center"/>
              <w:rPr>
                <w:rFonts w:ascii="宋体" w:hAnsi="宋体" w:cs="宋体"/>
                <w:szCs w:val="21"/>
                <w:highlight w:val="none"/>
              </w:rPr>
            </w:pPr>
            <w:r>
              <w:rPr>
                <w:rFonts w:hint="eastAsia" w:ascii="宋体" w:hAnsi="宋体" w:cs="宋体"/>
                <w:szCs w:val="21"/>
                <w:highlight w:val="none"/>
              </w:rPr>
              <w:t>标段</w:t>
            </w:r>
          </w:p>
        </w:tc>
        <w:tc>
          <w:tcPr>
            <w:tcW w:w="2918" w:type="dxa"/>
            <w:noWrap w:val="0"/>
            <w:vAlign w:val="center"/>
          </w:tcPr>
          <w:p w14:paraId="43AFA143">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编号</w:t>
            </w:r>
          </w:p>
        </w:tc>
        <w:tc>
          <w:tcPr>
            <w:tcW w:w="3476" w:type="dxa"/>
            <w:noWrap w:val="0"/>
            <w:vAlign w:val="center"/>
          </w:tcPr>
          <w:p w14:paraId="31E0A688">
            <w:pPr>
              <w:spacing w:line="360" w:lineRule="auto"/>
              <w:jc w:val="center"/>
              <w:rPr>
                <w:rFonts w:ascii="宋体" w:hAnsi="宋体" w:cs="宋体"/>
                <w:szCs w:val="21"/>
                <w:highlight w:val="none"/>
              </w:rPr>
            </w:pPr>
            <w:r>
              <w:rPr>
                <w:rFonts w:hint="eastAsia" w:ascii="宋体" w:hAnsi="宋体" w:cs="宋体"/>
                <w:szCs w:val="21"/>
                <w:highlight w:val="none"/>
              </w:rPr>
              <w:t>招标范围</w:t>
            </w:r>
          </w:p>
        </w:tc>
        <w:tc>
          <w:tcPr>
            <w:tcW w:w="972" w:type="dxa"/>
            <w:noWrap w:val="0"/>
            <w:vAlign w:val="center"/>
          </w:tcPr>
          <w:p w14:paraId="59DA0A08">
            <w:pPr>
              <w:spacing w:line="360" w:lineRule="auto"/>
              <w:jc w:val="center"/>
              <w:rPr>
                <w:rFonts w:ascii="宋体" w:hAnsi="宋体" w:cs="宋体"/>
                <w:szCs w:val="21"/>
                <w:highlight w:val="none"/>
              </w:rPr>
            </w:pPr>
            <w:r>
              <w:rPr>
                <w:rFonts w:hint="eastAsia" w:ascii="宋体" w:hAnsi="宋体" w:cs="宋体"/>
                <w:szCs w:val="21"/>
                <w:highlight w:val="none"/>
              </w:rPr>
              <w:t>服务期限</w:t>
            </w:r>
          </w:p>
        </w:tc>
        <w:tc>
          <w:tcPr>
            <w:tcW w:w="1593" w:type="dxa"/>
            <w:noWrap w:val="0"/>
            <w:vAlign w:val="center"/>
          </w:tcPr>
          <w:p w14:paraId="04B025CF">
            <w:pPr>
              <w:spacing w:line="360" w:lineRule="auto"/>
              <w:jc w:val="center"/>
              <w:rPr>
                <w:rFonts w:ascii="宋体" w:hAnsi="宋体" w:cs="宋体"/>
                <w:szCs w:val="21"/>
                <w:highlight w:val="none"/>
              </w:rPr>
            </w:pPr>
            <w:r>
              <w:rPr>
                <w:rFonts w:hint="eastAsia" w:ascii="宋体" w:hAnsi="宋体" w:cs="宋体"/>
                <w:szCs w:val="21"/>
                <w:highlight w:val="none"/>
              </w:rPr>
              <w:t>服务标准</w:t>
            </w:r>
          </w:p>
        </w:tc>
      </w:tr>
      <w:tr w14:paraId="3B37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610" w:type="dxa"/>
            <w:noWrap w:val="0"/>
            <w:vAlign w:val="center"/>
          </w:tcPr>
          <w:p w14:paraId="652A1F3F">
            <w:pPr>
              <w:spacing w:line="360" w:lineRule="auto"/>
              <w:jc w:val="center"/>
              <w:rPr>
                <w:rFonts w:ascii="宋体" w:hAnsi="宋体" w:cs="宋体"/>
                <w:szCs w:val="21"/>
                <w:highlight w:val="none"/>
              </w:rPr>
            </w:pPr>
            <w:r>
              <w:rPr>
                <w:rFonts w:hint="eastAsia" w:ascii="宋体" w:hAnsi="宋体" w:cs="宋体"/>
                <w:szCs w:val="21"/>
                <w:highlight w:val="none"/>
              </w:rPr>
              <w:t>01</w:t>
            </w:r>
          </w:p>
        </w:tc>
        <w:tc>
          <w:tcPr>
            <w:tcW w:w="2918" w:type="dxa"/>
            <w:noWrap w:val="0"/>
            <w:vAlign w:val="center"/>
          </w:tcPr>
          <w:p w14:paraId="6740B1FA">
            <w:pPr>
              <w:spacing w:line="360" w:lineRule="auto"/>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YDZBYS-2025-062301</w:t>
            </w:r>
          </w:p>
        </w:tc>
        <w:tc>
          <w:tcPr>
            <w:tcW w:w="3476" w:type="dxa"/>
            <w:noWrap w:val="0"/>
            <w:vAlign w:val="center"/>
          </w:tcPr>
          <w:p w14:paraId="525915D5">
            <w:pPr>
              <w:spacing w:line="360" w:lineRule="auto"/>
              <w:jc w:val="left"/>
              <w:rPr>
                <w:rFonts w:ascii="宋体" w:hAnsi="宋体" w:cs="宋体"/>
                <w:szCs w:val="21"/>
                <w:highlight w:val="none"/>
              </w:rPr>
            </w:pPr>
            <w:r>
              <w:rPr>
                <w:rFonts w:hint="eastAsia" w:ascii="宋体" w:hAnsi="宋体" w:cs="宋体"/>
                <w:kern w:val="0"/>
                <w:szCs w:val="21"/>
                <w:highlight w:val="none"/>
                <w:lang w:eastAsia="zh-CN"/>
              </w:rPr>
              <w:t>榆树市</w:t>
            </w:r>
            <w:r>
              <w:rPr>
                <w:rFonts w:hint="eastAsia" w:ascii="宋体" w:hAnsi="宋体" w:cs="宋体"/>
                <w:kern w:val="0"/>
                <w:szCs w:val="21"/>
                <w:highlight w:val="none"/>
              </w:rPr>
              <w:t>区域房屋维修资金管理项目服务；详见招标文件部分</w:t>
            </w:r>
          </w:p>
        </w:tc>
        <w:tc>
          <w:tcPr>
            <w:tcW w:w="972" w:type="dxa"/>
            <w:noWrap w:val="0"/>
            <w:vAlign w:val="center"/>
          </w:tcPr>
          <w:p w14:paraId="75318E51">
            <w:pPr>
              <w:spacing w:line="360" w:lineRule="auto"/>
              <w:jc w:val="center"/>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年</w:t>
            </w:r>
          </w:p>
        </w:tc>
        <w:tc>
          <w:tcPr>
            <w:tcW w:w="1593" w:type="dxa"/>
            <w:noWrap w:val="0"/>
            <w:vAlign w:val="center"/>
          </w:tcPr>
          <w:p w14:paraId="6457E15F">
            <w:pPr>
              <w:spacing w:line="360" w:lineRule="auto"/>
              <w:jc w:val="center"/>
              <w:rPr>
                <w:rFonts w:ascii="宋体" w:hAnsi="宋体" w:cs="宋体"/>
                <w:szCs w:val="21"/>
                <w:highlight w:val="none"/>
              </w:rPr>
            </w:pPr>
            <w:r>
              <w:rPr>
                <w:rFonts w:hint="eastAsia" w:ascii="宋体" w:hAnsi="宋体" w:cs="宋体"/>
                <w:szCs w:val="21"/>
                <w:highlight w:val="none"/>
              </w:rPr>
              <w:t>优质服务</w:t>
            </w:r>
          </w:p>
        </w:tc>
      </w:tr>
    </w:tbl>
    <w:p w14:paraId="61E4B128">
      <w:pPr>
        <w:numPr>
          <w:ilvl w:val="0"/>
          <w:numId w:val="0"/>
        </w:numPr>
        <w:autoSpaceDE w:val="0"/>
        <w:autoSpaceDN w:val="0"/>
        <w:adjustRightInd w:val="0"/>
        <w:spacing w:line="360" w:lineRule="auto"/>
        <w:ind w:leftChars="0" w:firstLine="422" w:firstLineChars="200"/>
        <w:jc w:val="left"/>
        <w:rPr>
          <w:rFonts w:hint="eastAsia" w:ascii="宋体" w:hAnsi="宋体" w:cs="宋体"/>
          <w:szCs w:val="21"/>
          <w:lang w:eastAsia="zh-CN"/>
        </w:rPr>
      </w:pPr>
      <w:r>
        <w:rPr>
          <w:rFonts w:hint="eastAsia" w:ascii="宋体" w:hAnsi="宋体" w:cs="宋体"/>
          <w:b/>
          <w:bCs/>
          <w:szCs w:val="21"/>
          <w:lang w:val="en-US" w:eastAsia="zh-CN"/>
        </w:rPr>
        <w:t>3、</w:t>
      </w:r>
      <w:r>
        <w:rPr>
          <w:rFonts w:hint="eastAsia" w:ascii="宋体" w:hAnsi="宋体" w:cs="宋体"/>
          <w:b/>
          <w:bCs/>
          <w:szCs w:val="21"/>
        </w:rPr>
        <w:t>投标人资格要求</w:t>
      </w:r>
      <w:r>
        <w:rPr>
          <w:rFonts w:hint="eastAsia" w:ascii="宋体" w:hAnsi="宋体" w:cs="宋体"/>
          <w:b/>
          <w:bCs/>
          <w:szCs w:val="21"/>
        </w:rPr>
        <w:br w:type="textWrapping"/>
      </w:r>
      <w:r>
        <w:rPr>
          <w:rFonts w:hint="eastAsia" w:ascii="宋体" w:hAnsi="宋体" w:cs="宋体"/>
          <w:b/>
          <w:bCs/>
          <w:szCs w:val="21"/>
        </w:rPr>
        <w:t xml:space="preserve">  </w:t>
      </w:r>
      <w:r>
        <w:rPr>
          <w:rFonts w:hint="eastAsia" w:ascii="宋体" w:hAnsi="宋体" w:cs="宋体"/>
          <w:szCs w:val="21"/>
        </w:rPr>
        <w:t>3.1投标人须符合《中华人民共和国政府采购法》第二十二条规定</w:t>
      </w:r>
      <w:r>
        <w:rPr>
          <w:rFonts w:hint="eastAsia" w:ascii="宋体" w:hAnsi="宋体" w:cs="宋体"/>
          <w:szCs w:val="21"/>
          <w:lang w:eastAsia="zh-CN"/>
        </w:rPr>
        <w:t>；</w:t>
      </w:r>
    </w:p>
    <w:p w14:paraId="6298595D">
      <w:pPr>
        <w:numPr>
          <w:ilvl w:val="0"/>
          <w:numId w:val="0"/>
        </w:numPr>
        <w:autoSpaceDE w:val="0"/>
        <w:autoSpaceDN w:val="0"/>
        <w:adjustRightInd w:val="0"/>
        <w:spacing w:line="360" w:lineRule="auto"/>
        <w:ind w:firstLine="420" w:firstLineChars="200"/>
        <w:jc w:val="left"/>
        <w:rPr>
          <w:rFonts w:ascii="宋体" w:hAnsi="宋体" w:cs="宋体"/>
          <w:szCs w:val="21"/>
        </w:rPr>
      </w:pPr>
      <w:r>
        <w:rPr>
          <w:rFonts w:hint="eastAsia"/>
          <w:sz w:val="21"/>
          <w:szCs w:val="21"/>
          <w:lang w:eastAsia="zh-CN"/>
        </w:rPr>
        <w:t>本项目所属行业为“其他未列明行业”；</w:t>
      </w:r>
      <w:r>
        <w:rPr>
          <w:rFonts w:hint="eastAsia" w:ascii="宋体" w:hAnsi="宋体" w:cs="宋体"/>
          <w:szCs w:val="21"/>
        </w:rPr>
        <w:br w:type="textWrapping"/>
      </w:r>
      <w:r>
        <w:rPr>
          <w:rFonts w:hint="eastAsia" w:ascii="宋体" w:hAnsi="宋体" w:cs="宋体"/>
          <w:szCs w:val="21"/>
        </w:rPr>
        <w:t xml:space="preserve">  3.2在中华人民共和国境内依法设立的银行均可参与。同时，还应该具备以下条件：</w:t>
      </w:r>
    </w:p>
    <w:p w14:paraId="7F09EC5B">
      <w:pPr>
        <w:autoSpaceDE w:val="0"/>
        <w:autoSpaceDN w:val="0"/>
        <w:adjustRightInd w:val="0"/>
        <w:spacing w:line="360" w:lineRule="auto"/>
        <w:ind w:firstLine="638" w:firstLineChars="304"/>
        <w:jc w:val="left"/>
        <w:rPr>
          <w:rFonts w:ascii="宋体" w:hAnsi="宋体" w:cs="宋体"/>
          <w:szCs w:val="21"/>
        </w:rPr>
      </w:pPr>
      <w:r>
        <w:rPr>
          <w:rFonts w:hint="eastAsia" w:ascii="宋体" w:hAnsi="宋体" w:cs="宋体"/>
          <w:szCs w:val="21"/>
        </w:rPr>
        <w:t>3.2.1财务稳健，资本充足率、不良贷率、拨备覆盖率、流动性覆盖率、流动性比例等指标达到监管标准。</w:t>
      </w:r>
    </w:p>
    <w:p w14:paraId="18CA8304">
      <w:pPr>
        <w:autoSpaceDE w:val="0"/>
        <w:autoSpaceDN w:val="0"/>
        <w:adjustRightInd w:val="0"/>
        <w:spacing w:line="360" w:lineRule="auto"/>
        <w:ind w:firstLine="638" w:firstLineChars="304"/>
        <w:jc w:val="left"/>
        <w:rPr>
          <w:rFonts w:ascii="宋体" w:hAnsi="宋体" w:cs="宋体"/>
          <w:szCs w:val="21"/>
        </w:rPr>
      </w:pPr>
      <w:r>
        <w:rPr>
          <w:rFonts w:hint="eastAsia" w:ascii="宋体" w:hAnsi="宋体" w:cs="宋体"/>
          <w:szCs w:val="21"/>
        </w:rPr>
        <w:t>3.2.2依法开展经营活动，近3年内在经营活动中无重大违法违规记录。</w:t>
      </w:r>
    </w:p>
    <w:p w14:paraId="21DD436A">
      <w:pPr>
        <w:autoSpaceDE w:val="0"/>
        <w:autoSpaceDN w:val="0"/>
        <w:adjustRightInd w:val="0"/>
        <w:spacing w:line="360" w:lineRule="auto"/>
        <w:ind w:firstLine="638" w:firstLineChars="304"/>
        <w:jc w:val="left"/>
        <w:rPr>
          <w:rFonts w:ascii="宋体" w:hAnsi="宋体" w:cs="宋体"/>
          <w:szCs w:val="21"/>
        </w:rPr>
      </w:pPr>
      <w:r>
        <w:rPr>
          <w:rFonts w:hint="eastAsia" w:ascii="宋体" w:hAnsi="宋体" w:cs="宋体"/>
          <w:szCs w:val="21"/>
        </w:rPr>
        <w:t>3.2.3内部管理机制健全，具有较强的风险控制能力，近3年内未发生金融风险及重大违约事件。</w:t>
      </w:r>
    </w:p>
    <w:p w14:paraId="3A725006">
      <w:pPr>
        <w:autoSpaceDE w:val="0"/>
        <w:autoSpaceDN w:val="0"/>
        <w:adjustRightInd w:val="0"/>
        <w:spacing w:line="360" w:lineRule="auto"/>
        <w:ind w:firstLine="638" w:firstLineChars="304"/>
        <w:jc w:val="left"/>
        <w:rPr>
          <w:rFonts w:ascii="宋体" w:hAnsi="宋体" w:cs="宋体"/>
          <w:szCs w:val="21"/>
        </w:rPr>
      </w:pPr>
      <w:r>
        <w:rPr>
          <w:rFonts w:hint="eastAsia" w:ascii="宋体" w:hAnsi="宋体" w:cs="宋体"/>
          <w:szCs w:val="21"/>
        </w:rPr>
        <w:t>3.2.4在</w:t>
      </w:r>
      <w:r>
        <w:rPr>
          <w:rFonts w:hint="eastAsia" w:ascii="宋体" w:hAnsi="宋体" w:cs="宋体"/>
          <w:szCs w:val="21"/>
          <w:lang w:eastAsia="zh-CN"/>
        </w:rPr>
        <w:t>榆树市</w:t>
      </w:r>
      <w:r>
        <w:rPr>
          <w:rFonts w:hint="eastAsia" w:ascii="宋体" w:hAnsi="宋体" w:cs="宋体"/>
          <w:szCs w:val="21"/>
        </w:rPr>
        <w:t>设有分支机构。</w:t>
      </w:r>
    </w:p>
    <w:p w14:paraId="35332AF8">
      <w:pPr>
        <w:autoSpaceDE w:val="0"/>
        <w:autoSpaceDN w:val="0"/>
        <w:adjustRightInd w:val="0"/>
        <w:spacing w:line="360" w:lineRule="auto"/>
        <w:ind w:firstLine="638" w:firstLineChars="304"/>
        <w:jc w:val="left"/>
        <w:rPr>
          <w:rFonts w:ascii="宋体" w:hAnsi="宋体" w:cs="宋体"/>
          <w:szCs w:val="21"/>
        </w:rPr>
      </w:pPr>
      <w:r>
        <w:rPr>
          <w:rFonts w:hint="eastAsia" w:ascii="宋体" w:hAnsi="宋体" w:cs="宋体"/>
          <w:szCs w:val="21"/>
        </w:rPr>
        <w:t>3.2.5监管评级达到一定标准，人民银行上年度综合评级B级以上。</w:t>
      </w:r>
    </w:p>
    <w:p w14:paraId="5C418460">
      <w:pPr>
        <w:autoSpaceDE w:val="0"/>
        <w:autoSpaceDN w:val="0"/>
        <w:adjustRightInd w:val="0"/>
        <w:spacing w:line="360" w:lineRule="auto"/>
        <w:ind w:firstLine="638" w:firstLineChars="304"/>
        <w:jc w:val="left"/>
        <w:rPr>
          <w:rFonts w:ascii="宋体" w:hAnsi="宋体" w:cs="宋体"/>
          <w:szCs w:val="21"/>
        </w:rPr>
      </w:pPr>
      <w:r>
        <w:rPr>
          <w:rFonts w:hint="eastAsia" w:ascii="宋体" w:hAnsi="宋体" w:cs="宋体"/>
          <w:szCs w:val="21"/>
        </w:rPr>
        <w:t>3.2.6同一总行的分支机构只能选派一家分（支）行参与此次竞争性选择。</w:t>
      </w:r>
    </w:p>
    <w:p w14:paraId="41E5A8D7">
      <w:pPr>
        <w:adjustRightInd w:val="0"/>
        <w:snapToGrid w:val="0"/>
        <w:ind w:firstLine="638" w:firstLineChars="304"/>
        <w:rPr>
          <w:rFonts w:ascii="宋体" w:hAnsi="宋体" w:cs="宋体"/>
          <w:szCs w:val="21"/>
        </w:rPr>
      </w:pPr>
      <w:r>
        <w:rPr>
          <w:rFonts w:hint="eastAsia" w:ascii="宋体" w:hAnsi="宋体" w:cs="宋体"/>
          <w:szCs w:val="21"/>
        </w:rPr>
        <w:t>3.2.7提供近三年（</w:t>
      </w:r>
      <w:r>
        <w:rPr>
          <w:rFonts w:hint="eastAsia" w:ascii="宋体" w:hAnsi="宋体" w:cs="宋体"/>
          <w:szCs w:val="21"/>
          <w:lang w:val="en-US" w:eastAsia="zh-CN"/>
        </w:rPr>
        <w:t>2022、2023、2024</w:t>
      </w:r>
      <w:r>
        <w:rPr>
          <w:rFonts w:hint="eastAsia" w:ascii="宋体" w:hAnsi="宋体" w:cs="宋体"/>
          <w:szCs w:val="21"/>
        </w:rPr>
        <w:t>年）经会计师事务所审计的财务审计报告。</w:t>
      </w:r>
    </w:p>
    <w:p w14:paraId="6F5DE0B3">
      <w:pPr>
        <w:widowControl w:val="0"/>
        <w:numPr>
          <w:ilvl w:val="0"/>
          <w:numId w:val="0"/>
        </w:numPr>
        <w:spacing w:line="360" w:lineRule="auto"/>
        <w:ind w:firstLine="420" w:firstLineChars="200"/>
        <w:jc w:val="both"/>
        <w:rPr>
          <w:rFonts w:hint="eastAsia" w:ascii="宋体" w:hAnsi="宋体" w:eastAsia="宋体" w:cs="宋体"/>
          <w:sz w:val="24"/>
          <w:szCs w:val="24"/>
          <w:lang w:val="en-US" w:eastAsia="zh-CN"/>
        </w:rPr>
      </w:pPr>
      <w:r>
        <w:rPr>
          <w:rFonts w:hint="eastAsia" w:ascii="宋体" w:hAnsi="宋体" w:cs="宋体"/>
          <w:szCs w:val="21"/>
        </w:rPr>
        <w:br w:type="textWrapping"/>
      </w:r>
    </w:p>
    <w:p w14:paraId="60F8AF4F">
      <w:pPr>
        <w:widowControl w:val="0"/>
        <w:numPr>
          <w:ilvl w:val="0"/>
          <w:numId w:val="0"/>
        </w:numPr>
        <w:spacing w:line="360" w:lineRule="auto"/>
        <w:jc w:val="both"/>
        <w:rPr>
          <w:rFonts w:hint="eastAsia" w:ascii="宋体" w:hAnsi="宋体" w:eastAsia="宋体" w:cs="宋体"/>
          <w:b/>
          <w:bCs/>
          <w:sz w:val="24"/>
          <w:szCs w:val="24"/>
          <w:lang w:val="en-US" w:eastAsia="zh-CN"/>
        </w:rPr>
      </w:pPr>
      <w:r>
        <w:rPr>
          <w:rFonts w:hint="default"/>
          <w:lang w:val="en-US" w:eastAsia="zh-CN"/>
        </w:rPr>
        <w:br w:type="page"/>
      </w:r>
      <w:r>
        <w:rPr>
          <w:rFonts w:hint="eastAsia" w:ascii="宋体" w:hAnsi="宋体" w:eastAsia="宋体" w:cs="宋体"/>
          <w:b/>
          <w:bCs/>
          <w:sz w:val="24"/>
          <w:szCs w:val="24"/>
          <w:lang w:val="en-US" w:eastAsia="zh-CN"/>
        </w:rPr>
        <w:t>三、 评标办法（综合评分法）</w:t>
      </w:r>
    </w:p>
    <w:p w14:paraId="1F4D7915">
      <w:pPr>
        <w:keepNext w:val="0"/>
        <w:keepLines w:val="0"/>
        <w:pageBreakBefore w:val="0"/>
        <w:widowControl w:val="0"/>
        <w:kinsoku/>
        <w:wordWrap w:val="0"/>
        <w:overflowPunct/>
        <w:topLinePunct/>
        <w:autoSpaceDE/>
        <w:autoSpaceDN/>
        <w:bidi w:val="0"/>
        <w:adjustRightInd/>
        <w:snapToGrid/>
        <w:ind w:left="0" w:leftChars="0" w:right="0" w:rightChars="0" w:firstLine="0" w:firstLineChars="0"/>
        <w:textAlignment w:val="auto"/>
        <w:rPr>
          <w:rFonts w:ascii="宋体" w:hAnsi="宋体" w:eastAsia="宋体" w:cs="宋体"/>
          <w:color w:val="auto"/>
        </w:rPr>
      </w:pPr>
    </w:p>
    <w:p w14:paraId="26AD363F">
      <w:pPr>
        <w:spacing w:afterLines="50"/>
        <w:rPr>
          <w:rFonts w:ascii="宋体" w:hAnsi="宋体" w:cs="宋体"/>
          <w:sz w:val="24"/>
        </w:rPr>
      </w:pPr>
      <w:r>
        <w:rPr>
          <w:rFonts w:hint="eastAsia" w:ascii="宋体" w:hAnsi="宋体" w:cs="宋体"/>
          <w:sz w:val="24"/>
        </w:rPr>
        <w:t>评审办法前附表（一）</w:t>
      </w:r>
    </w:p>
    <w:tbl>
      <w:tblPr>
        <w:tblStyle w:val="10"/>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2451"/>
        <w:gridCol w:w="5818"/>
      </w:tblGrid>
      <w:tr w14:paraId="21E4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blHeader/>
          <w:jc w:val="center"/>
        </w:trPr>
        <w:tc>
          <w:tcPr>
            <w:tcW w:w="1180" w:type="dxa"/>
            <w:noWrap w:val="0"/>
            <w:vAlign w:val="center"/>
          </w:tcPr>
          <w:p w14:paraId="6377982D">
            <w:pPr>
              <w:autoSpaceDE w:val="0"/>
              <w:autoSpaceDN w:val="0"/>
              <w:adjustRightInd w:val="0"/>
              <w:snapToGrid w:val="0"/>
              <w:spacing w:beforeLines="15" w:line="276" w:lineRule="auto"/>
              <w:jc w:val="center"/>
              <w:rPr>
                <w:rFonts w:ascii="宋体" w:hAnsi="宋体" w:cs="宋体"/>
                <w:bCs/>
                <w:szCs w:val="21"/>
                <w:lang w:val="zh-CN"/>
              </w:rPr>
            </w:pPr>
            <w:r>
              <w:rPr>
                <w:rFonts w:hint="eastAsia" w:ascii="宋体" w:hAnsi="宋体" w:cs="宋体"/>
                <w:bCs/>
                <w:szCs w:val="21"/>
                <w:lang w:val="zh-CN"/>
              </w:rPr>
              <w:t>条款号</w:t>
            </w:r>
          </w:p>
        </w:tc>
        <w:tc>
          <w:tcPr>
            <w:tcW w:w="2451" w:type="dxa"/>
            <w:noWrap w:val="0"/>
            <w:vAlign w:val="center"/>
          </w:tcPr>
          <w:p w14:paraId="20977F89">
            <w:pPr>
              <w:autoSpaceDE w:val="0"/>
              <w:autoSpaceDN w:val="0"/>
              <w:adjustRightInd w:val="0"/>
              <w:snapToGrid w:val="0"/>
              <w:spacing w:beforeLines="15" w:line="276" w:lineRule="auto"/>
              <w:jc w:val="center"/>
              <w:rPr>
                <w:rFonts w:ascii="宋体" w:hAnsi="宋体" w:cs="宋体"/>
                <w:bCs/>
                <w:szCs w:val="21"/>
                <w:lang w:val="zh-CN"/>
              </w:rPr>
            </w:pPr>
            <w:r>
              <w:rPr>
                <w:rFonts w:hint="eastAsia" w:ascii="宋体" w:hAnsi="宋体" w:cs="宋体"/>
                <w:bCs/>
                <w:szCs w:val="21"/>
                <w:lang w:val="zh-CN"/>
              </w:rPr>
              <w:t>评审因素</w:t>
            </w:r>
          </w:p>
        </w:tc>
        <w:tc>
          <w:tcPr>
            <w:tcW w:w="5818" w:type="dxa"/>
            <w:noWrap w:val="0"/>
            <w:vAlign w:val="center"/>
          </w:tcPr>
          <w:p w14:paraId="0361DBFB">
            <w:pPr>
              <w:autoSpaceDE w:val="0"/>
              <w:autoSpaceDN w:val="0"/>
              <w:adjustRightInd w:val="0"/>
              <w:snapToGrid w:val="0"/>
              <w:spacing w:beforeLines="15" w:line="276" w:lineRule="auto"/>
              <w:jc w:val="center"/>
              <w:rPr>
                <w:rFonts w:ascii="宋体" w:hAnsi="宋体" w:cs="宋体"/>
                <w:bCs/>
                <w:szCs w:val="21"/>
                <w:lang w:val="zh-CN"/>
              </w:rPr>
            </w:pPr>
            <w:r>
              <w:rPr>
                <w:rFonts w:hint="eastAsia" w:ascii="宋体" w:hAnsi="宋体" w:cs="宋体"/>
                <w:bCs/>
                <w:szCs w:val="21"/>
                <w:lang w:val="zh-CN"/>
              </w:rPr>
              <w:t>评审标准</w:t>
            </w:r>
          </w:p>
        </w:tc>
      </w:tr>
      <w:tr w14:paraId="4172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1180" w:type="dxa"/>
            <w:vMerge w:val="restart"/>
            <w:noWrap w:val="0"/>
            <w:vAlign w:val="center"/>
          </w:tcPr>
          <w:p w14:paraId="634AC8BF">
            <w:pPr>
              <w:autoSpaceDE w:val="0"/>
              <w:autoSpaceDN w:val="0"/>
              <w:adjustRightInd w:val="0"/>
              <w:snapToGrid w:val="0"/>
              <w:spacing w:beforeLines="15" w:line="276" w:lineRule="auto"/>
              <w:jc w:val="center"/>
              <w:rPr>
                <w:rFonts w:ascii="宋体" w:hAnsi="宋体" w:cs="宋体"/>
                <w:bCs/>
                <w:szCs w:val="21"/>
                <w:lang w:val="zh-CN"/>
              </w:rPr>
            </w:pPr>
            <w:r>
              <w:rPr>
                <w:rFonts w:hint="eastAsia" w:ascii="宋体" w:hAnsi="宋体" w:cs="宋体"/>
                <w:bCs/>
                <w:szCs w:val="21"/>
                <w:lang w:val="zh-CN"/>
              </w:rPr>
              <w:t>形式</w:t>
            </w:r>
          </w:p>
          <w:p w14:paraId="29FE5033">
            <w:pPr>
              <w:autoSpaceDE w:val="0"/>
              <w:autoSpaceDN w:val="0"/>
              <w:adjustRightInd w:val="0"/>
              <w:snapToGrid w:val="0"/>
              <w:spacing w:beforeLines="15" w:line="276" w:lineRule="auto"/>
              <w:jc w:val="center"/>
              <w:rPr>
                <w:rFonts w:ascii="宋体" w:hAnsi="宋体" w:cs="宋体"/>
                <w:bCs/>
                <w:szCs w:val="21"/>
                <w:lang w:val="zh-CN"/>
              </w:rPr>
            </w:pPr>
            <w:r>
              <w:rPr>
                <w:rFonts w:hint="eastAsia" w:ascii="宋体" w:hAnsi="宋体" w:cs="宋体"/>
                <w:bCs/>
                <w:szCs w:val="21"/>
                <w:lang w:val="zh-CN"/>
              </w:rPr>
              <w:t>评审</w:t>
            </w:r>
          </w:p>
          <w:p w14:paraId="4B5368BD">
            <w:pPr>
              <w:autoSpaceDE w:val="0"/>
              <w:autoSpaceDN w:val="0"/>
              <w:adjustRightInd w:val="0"/>
              <w:snapToGrid w:val="0"/>
              <w:spacing w:beforeLines="15" w:line="276" w:lineRule="auto"/>
              <w:jc w:val="center"/>
              <w:rPr>
                <w:rFonts w:ascii="宋体" w:hAnsi="宋体" w:cs="宋体"/>
                <w:bCs/>
                <w:szCs w:val="21"/>
                <w:lang w:val="zh-CN"/>
              </w:rPr>
            </w:pPr>
            <w:r>
              <w:rPr>
                <w:rFonts w:hint="eastAsia" w:ascii="宋体" w:hAnsi="宋体" w:cs="宋体"/>
                <w:bCs/>
                <w:szCs w:val="21"/>
                <w:lang w:val="zh-CN"/>
              </w:rPr>
              <w:t>标准</w:t>
            </w:r>
          </w:p>
        </w:tc>
        <w:tc>
          <w:tcPr>
            <w:tcW w:w="2451" w:type="dxa"/>
            <w:noWrap w:val="0"/>
            <w:vAlign w:val="center"/>
          </w:tcPr>
          <w:p w14:paraId="1CA70AB2">
            <w:pPr>
              <w:autoSpaceDE w:val="0"/>
              <w:autoSpaceDN w:val="0"/>
              <w:adjustRightInd w:val="0"/>
              <w:snapToGrid w:val="0"/>
              <w:spacing w:beforeLines="15" w:line="276" w:lineRule="auto"/>
              <w:jc w:val="center"/>
              <w:rPr>
                <w:rFonts w:ascii="宋体" w:hAnsi="宋体" w:cs="宋体"/>
                <w:bCs/>
                <w:szCs w:val="21"/>
                <w:lang w:val="zh-CN"/>
              </w:rPr>
            </w:pPr>
            <w:r>
              <w:rPr>
                <w:rFonts w:hint="eastAsia" w:ascii="宋体" w:hAnsi="宋体" w:cs="宋体"/>
                <w:bCs/>
                <w:szCs w:val="21"/>
                <w:lang w:val="zh-CN"/>
              </w:rPr>
              <w:t>投标人名称</w:t>
            </w:r>
          </w:p>
        </w:tc>
        <w:tc>
          <w:tcPr>
            <w:tcW w:w="5818" w:type="dxa"/>
            <w:noWrap w:val="0"/>
            <w:vAlign w:val="center"/>
          </w:tcPr>
          <w:p w14:paraId="1DE2E315">
            <w:pPr>
              <w:autoSpaceDE w:val="0"/>
              <w:autoSpaceDN w:val="0"/>
              <w:adjustRightInd w:val="0"/>
              <w:snapToGrid w:val="0"/>
              <w:spacing w:beforeLines="15" w:line="276" w:lineRule="auto"/>
              <w:rPr>
                <w:rFonts w:ascii="宋体" w:hAnsi="宋体" w:cs="宋体"/>
                <w:bCs/>
                <w:szCs w:val="21"/>
                <w:lang w:val="zh-CN"/>
              </w:rPr>
            </w:pPr>
            <w:r>
              <w:rPr>
                <w:rFonts w:hint="eastAsia" w:ascii="宋体" w:hAnsi="宋体" w:cs="宋体"/>
                <w:bCs/>
                <w:szCs w:val="21"/>
                <w:lang w:val="zh-CN"/>
              </w:rPr>
              <w:t>与营业执照一致。</w:t>
            </w:r>
          </w:p>
        </w:tc>
      </w:tr>
      <w:tr w14:paraId="3C4D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9" w:hRule="atLeast"/>
          <w:jc w:val="center"/>
        </w:trPr>
        <w:tc>
          <w:tcPr>
            <w:tcW w:w="1180" w:type="dxa"/>
            <w:vMerge w:val="continue"/>
            <w:noWrap w:val="0"/>
            <w:vAlign w:val="center"/>
          </w:tcPr>
          <w:p w14:paraId="5470C830">
            <w:pPr>
              <w:autoSpaceDE w:val="0"/>
              <w:autoSpaceDN w:val="0"/>
              <w:adjustRightInd w:val="0"/>
              <w:snapToGrid w:val="0"/>
              <w:spacing w:beforeLines="15" w:line="276" w:lineRule="auto"/>
              <w:jc w:val="center"/>
              <w:rPr>
                <w:rFonts w:ascii="宋体" w:hAnsi="宋体" w:cs="宋体"/>
                <w:bCs/>
                <w:szCs w:val="21"/>
                <w:lang w:val="zh-CN"/>
              </w:rPr>
            </w:pPr>
          </w:p>
        </w:tc>
        <w:tc>
          <w:tcPr>
            <w:tcW w:w="2451" w:type="dxa"/>
            <w:noWrap w:val="0"/>
            <w:vAlign w:val="center"/>
          </w:tcPr>
          <w:p w14:paraId="01435945">
            <w:pPr>
              <w:autoSpaceDE w:val="0"/>
              <w:autoSpaceDN w:val="0"/>
              <w:adjustRightInd w:val="0"/>
              <w:snapToGrid w:val="0"/>
              <w:spacing w:beforeLines="15" w:line="276" w:lineRule="auto"/>
              <w:jc w:val="center"/>
              <w:rPr>
                <w:rFonts w:ascii="宋体" w:hAnsi="宋体" w:cs="宋体"/>
                <w:bCs/>
                <w:szCs w:val="21"/>
                <w:lang w:val="zh-CN"/>
              </w:rPr>
            </w:pPr>
            <w:r>
              <w:rPr>
                <w:rFonts w:hint="eastAsia" w:ascii="宋体" w:hAnsi="宋体" w:cs="宋体"/>
                <w:bCs/>
                <w:szCs w:val="21"/>
                <w:lang w:val="zh-CN"/>
              </w:rPr>
              <w:t>投标函签字盖章</w:t>
            </w:r>
          </w:p>
        </w:tc>
        <w:tc>
          <w:tcPr>
            <w:tcW w:w="5818" w:type="dxa"/>
            <w:noWrap w:val="0"/>
            <w:vAlign w:val="center"/>
          </w:tcPr>
          <w:p w14:paraId="71F92ACF">
            <w:pPr>
              <w:autoSpaceDE w:val="0"/>
              <w:autoSpaceDN w:val="0"/>
              <w:adjustRightInd w:val="0"/>
              <w:snapToGrid w:val="0"/>
              <w:spacing w:beforeLines="15" w:line="276" w:lineRule="auto"/>
              <w:rPr>
                <w:rFonts w:ascii="宋体" w:hAnsi="宋体" w:cs="宋体"/>
                <w:bCs/>
                <w:szCs w:val="21"/>
                <w:lang w:val="zh-CN"/>
              </w:rPr>
            </w:pPr>
            <w:r>
              <w:rPr>
                <w:rFonts w:hint="eastAsia" w:ascii="宋体" w:hAnsi="宋体" w:cs="宋体"/>
                <w:bCs/>
                <w:szCs w:val="21"/>
                <w:lang w:val="zh-CN"/>
              </w:rPr>
              <w:t>有负责人或其委托代理人签字并加盖单位</w:t>
            </w:r>
            <w:r>
              <w:rPr>
                <w:rFonts w:hint="eastAsia" w:ascii="宋体" w:hAnsi="宋体" w:cs="宋体"/>
                <w:bCs/>
                <w:szCs w:val="21"/>
                <w:lang w:val="en-US" w:eastAsia="zh-CN"/>
              </w:rPr>
              <w:t>公</w:t>
            </w:r>
            <w:r>
              <w:rPr>
                <w:rFonts w:hint="eastAsia" w:ascii="宋体" w:hAnsi="宋体" w:cs="宋体"/>
                <w:bCs/>
                <w:szCs w:val="21"/>
                <w:lang w:val="zh-CN"/>
              </w:rPr>
              <w:t>章。</w:t>
            </w:r>
          </w:p>
        </w:tc>
      </w:tr>
      <w:tr w14:paraId="7996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180" w:type="dxa"/>
            <w:vMerge w:val="continue"/>
            <w:noWrap w:val="0"/>
            <w:vAlign w:val="center"/>
          </w:tcPr>
          <w:p w14:paraId="66F7D9E1">
            <w:pPr>
              <w:autoSpaceDE w:val="0"/>
              <w:autoSpaceDN w:val="0"/>
              <w:adjustRightInd w:val="0"/>
              <w:snapToGrid w:val="0"/>
              <w:spacing w:beforeLines="15" w:line="276" w:lineRule="auto"/>
              <w:jc w:val="center"/>
              <w:rPr>
                <w:rFonts w:ascii="宋体" w:hAnsi="宋体" w:cs="宋体"/>
                <w:bCs/>
                <w:szCs w:val="21"/>
                <w:lang w:val="zh-CN"/>
              </w:rPr>
            </w:pPr>
          </w:p>
        </w:tc>
        <w:tc>
          <w:tcPr>
            <w:tcW w:w="2451" w:type="dxa"/>
            <w:noWrap w:val="0"/>
            <w:vAlign w:val="center"/>
          </w:tcPr>
          <w:p w14:paraId="1F6394DA">
            <w:pPr>
              <w:autoSpaceDE w:val="0"/>
              <w:autoSpaceDN w:val="0"/>
              <w:adjustRightInd w:val="0"/>
              <w:snapToGrid w:val="0"/>
              <w:spacing w:beforeLines="15" w:line="276" w:lineRule="auto"/>
              <w:jc w:val="center"/>
              <w:rPr>
                <w:rFonts w:ascii="宋体" w:hAnsi="宋体" w:cs="宋体"/>
                <w:bCs/>
                <w:szCs w:val="21"/>
                <w:lang w:val="zh-CN"/>
              </w:rPr>
            </w:pPr>
            <w:r>
              <w:rPr>
                <w:rFonts w:hint="eastAsia" w:ascii="宋体" w:hAnsi="宋体" w:cs="宋体"/>
                <w:bCs/>
                <w:szCs w:val="21"/>
                <w:lang w:val="zh-CN"/>
              </w:rPr>
              <w:t>投标文件格式</w:t>
            </w:r>
          </w:p>
        </w:tc>
        <w:tc>
          <w:tcPr>
            <w:tcW w:w="5818" w:type="dxa"/>
            <w:noWrap w:val="0"/>
            <w:vAlign w:val="center"/>
          </w:tcPr>
          <w:p w14:paraId="08566778">
            <w:pPr>
              <w:autoSpaceDE w:val="0"/>
              <w:autoSpaceDN w:val="0"/>
              <w:adjustRightInd w:val="0"/>
              <w:snapToGrid w:val="0"/>
              <w:spacing w:beforeLines="15" w:line="276" w:lineRule="auto"/>
              <w:rPr>
                <w:rFonts w:ascii="宋体" w:hAnsi="宋体" w:cs="宋体"/>
                <w:bCs/>
                <w:szCs w:val="21"/>
                <w:lang w:val="zh-CN"/>
              </w:rPr>
            </w:pPr>
            <w:r>
              <w:rPr>
                <w:rFonts w:hint="eastAsia" w:ascii="宋体" w:hAnsi="宋体" w:cs="宋体"/>
                <w:bCs/>
                <w:szCs w:val="21"/>
                <w:lang w:val="zh-CN"/>
              </w:rPr>
              <w:t>符合第六章“投标文件格式”的要求。</w:t>
            </w:r>
          </w:p>
        </w:tc>
      </w:tr>
      <w:tr w14:paraId="5150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180" w:type="dxa"/>
            <w:vMerge w:val="restart"/>
            <w:noWrap w:val="0"/>
            <w:vAlign w:val="center"/>
          </w:tcPr>
          <w:p w14:paraId="790AC311">
            <w:pPr>
              <w:autoSpaceDE w:val="0"/>
              <w:autoSpaceDN w:val="0"/>
              <w:adjustRightInd w:val="0"/>
              <w:snapToGrid w:val="0"/>
              <w:spacing w:beforeLines="15" w:line="276" w:lineRule="auto"/>
              <w:jc w:val="center"/>
              <w:rPr>
                <w:rFonts w:ascii="宋体" w:hAnsi="宋体" w:cs="宋体"/>
                <w:bCs/>
                <w:szCs w:val="21"/>
                <w:lang w:val="zh-CN"/>
              </w:rPr>
            </w:pPr>
            <w:r>
              <w:rPr>
                <w:rFonts w:hint="eastAsia" w:ascii="宋体" w:hAnsi="宋体" w:cs="宋体"/>
                <w:bCs/>
                <w:szCs w:val="21"/>
                <w:lang w:val="zh-CN"/>
              </w:rPr>
              <w:t>资格</w:t>
            </w:r>
          </w:p>
          <w:p w14:paraId="1F34BAC9">
            <w:pPr>
              <w:autoSpaceDE w:val="0"/>
              <w:autoSpaceDN w:val="0"/>
              <w:adjustRightInd w:val="0"/>
              <w:snapToGrid w:val="0"/>
              <w:spacing w:beforeLines="15" w:line="276" w:lineRule="auto"/>
              <w:jc w:val="center"/>
              <w:rPr>
                <w:rFonts w:ascii="宋体" w:hAnsi="宋体" w:cs="宋体"/>
                <w:bCs/>
                <w:szCs w:val="21"/>
                <w:lang w:val="zh-CN"/>
              </w:rPr>
            </w:pPr>
            <w:r>
              <w:rPr>
                <w:rFonts w:hint="eastAsia" w:ascii="宋体" w:hAnsi="宋体" w:cs="宋体"/>
                <w:bCs/>
                <w:szCs w:val="21"/>
                <w:lang w:val="zh-CN"/>
              </w:rPr>
              <w:t>评审</w:t>
            </w:r>
          </w:p>
          <w:p w14:paraId="30B173D6">
            <w:pPr>
              <w:autoSpaceDE w:val="0"/>
              <w:autoSpaceDN w:val="0"/>
              <w:adjustRightInd w:val="0"/>
              <w:snapToGrid w:val="0"/>
              <w:spacing w:beforeLines="15" w:line="276" w:lineRule="auto"/>
              <w:jc w:val="center"/>
              <w:rPr>
                <w:rFonts w:ascii="宋体" w:hAnsi="宋体" w:cs="宋体"/>
                <w:bCs/>
                <w:szCs w:val="21"/>
                <w:lang w:val="zh-CN"/>
              </w:rPr>
            </w:pPr>
            <w:r>
              <w:rPr>
                <w:rFonts w:hint="eastAsia" w:ascii="宋体" w:hAnsi="宋体" w:cs="宋体"/>
                <w:bCs/>
                <w:szCs w:val="21"/>
                <w:lang w:val="zh-CN"/>
              </w:rPr>
              <w:t>标准</w:t>
            </w:r>
          </w:p>
        </w:tc>
        <w:tc>
          <w:tcPr>
            <w:tcW w:w="2451" w:type="dxa"/>
            <w:noWrap w:val="0"/>
            <w:vAlign w:val="center"/>
          </w:tcPr>
          <w:p w14:paraId="26FE8AD1">
            <w:pPr>
              <w:autoSpaceDE w:val="0"/>
              <w:autoSpaceDN w:val="0"/>
              <w:adjustRightInd w:val="0"/>
              <w:snapToGrid w:val="0"/>
              <w:spacing w:beforeLines="15" w:line="276" w:lineRule="auto"/>
              <w:jc w:val="center"/>
              <w:rPr>
                <w:rFonts w:ascii="宋体" w:hAnsi="宋体" w:cs="宋体"/>
                <w:bCs/>
                <w:szCs w:val="21"/>
                <w:lang w:val="zh-CN"/>
              </w:rPr>
            </w:pPr>
            <w:r>
              <w:rPr>
                <w:rFonts w:hint="eastAsia" w:ascii="宋体" w:hAnsi="宋体" w:cs="宋体"/>
                <w:bCs/>
                <w:szCs w:val="21"/>
                <w:lang w:val="zh-CN"/>
              </w:rPr>
              <w:t>营业执照</w:t>
            </w:r>
          </w:p>
        </w:tc>
        <w:tc>
          <w:tcPr>
            <w:tcW w:w="5818" w:type="dxa"/>
            <w:noWrap w:val="0"/>
            <w:vAlign w:val="center"/>
          </w:tcPr>
          <w:p w14:paraId="231A7526">
            <w:pPr>
              <w:autoSpaceDE w:val="0"/>
              <w:autoSpaceDN w:val="0"/>
              <w:adjustRightInd w:val="0"/>
              <w:snapToGrid w:val="0"/>
              <w:spacing w:beforeLines="15" w:line="276" w:lineRule="auto"/>
              <w:rPr>
                <w:rFonts w:ascii="宋体" w:hAnsi="宋体" w:cs="宋体"/>
                <w:bCs/>
                <w:szCs w:val="21"/>
              </w:rPr>
            </w:pPr>
            <w:r>
              <w:rPr>
                <w:rFonts w:hint="eastAsia" w:ascii="宋体" w:hAnsi="宋体" w:cs="宋体"/>
                <w:bCs/>
                <w:szCs w:val="21"/>
                <w:lang w:val="zh-CN"/>
              </w:rPr>
              <w:t>符合投标人须知前附表1.</w:t>
            </w:r>
            <w:r>
              <w:rPr>
                <w:rFonts w:hint="eastAsia" w:ascii="宋体" w:hAnsi="宋体" w:cs="宋体"/>
                <w:bCs/>
                <w:szCs w:val="21"/>
              </w:rPr>
              <w:t>4</w:t>
            </w:r>
            <w:r>
              <w:rPr>
                <w:rFonts w:hint="eastAsia" w:ascii="宋体" w:hAnsi="宋体" w:cs="宋体"/>
                <w:bCs/>
                <w:szCs w:val="21"/>
                <w:lang w:val="zh-CN"/>
              </w:rPr>
              <w:t>.1项的规定，</w:t>
            </w:r>
            <w:r>
              <w:rPr>
                <w:rFonts w:hint="eastAsia" w:ascii="宋体" w:hAnsi="宋体" w:cs="宋体"/>
                <w:bCs/>
                <w:szCs w:val="21"/>
              </w:rPr>
              <w:t>标书里</w:t>
            </w:r>
            <w:r>
              <w:rPr>
                <w:rFonts w:hint="eastAsia" w:ascii="宋体" w:hAnsi="宋体" w:cs="宋体"/>
                <w:bCs/>
                <w:szCs w:val="21"/>
                <w:lang w:val="zh-CN"/>
              </w:rPr>
              <w:t>提供有效的营业执照副本复印件加盖公章。</w:t>
            </w:r>
            <w:r>
              <w:rPr>
                <w:rFonts w:hint="eastAsia" w:ascii="宋体" w:hAnsi="宋体" w:cs="宋体"/>
                <w:szCs w:val="21"/>
              </w:rPr>
              <w:t>带至开标现场单独提交一份</w:t>
            </w:r>
            <w:r>
              <w:rPr>
                <w:rFonts w:hint="eastAsia" w:ascii="宋体" w:hAnsi="宋体" w:cs="宋体"/>
                <w:bCs/>
                <w:szCs w:val="21"/>
              </w:rPr>
              <w:t>复印件加盖鲜章</w:t>
            </w:r>
            <w:r>
              <w:rPr>
                <w:rFonts w:hint="eastAsia" w:ascii="宋体" w:hAnsi="宋体" w:cs="宋体"/>
                <w:szCs w:val="21"/>
              </w:rPr>
              <w:t>，以备评标委员会认定。</w:t>
            </w:r>
          </w:p>
        </w:tc>
      </w:tr>
      <w:tr w14:paraId="7383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180" w:type="dxa"/>
            <w:vMerge w:val="continue"/>
            <w:noWrap w:val="0"/>
            <w:vAlign w:val="center"/>
          </w:tcPr>
          <w:p w14:paraId="271CA656">
            <w:pPr>
              <w:autoSpaceDE w:val="0"/>
              <w:autoSpaceDN w:val="0"/>
              <w:adjustRightInd w:val="0"/>
              <w:snapToGrid w:val="0"/>
              <w:spacing w:beforeLines="15" w:line="276" w:lineRule="auto"/>
              <w:jc w:val="center"/>
              <w:rPr>
                <w:rFonts w:ascii="宋体" w:hAnsi="宋体" w:cs="宋体"/>
                <w:bCs/>
                <w:szCs w:val="21"/>
                <w:lang w:val="zh-CN"/>
              </w:rPr>
            </w:pPr>
          </w:p>
        </w:tc>
        <w:tc>
          <w:tcPr>
            <w:tcW w:w="2451" w:type="dxa"/>
            <w:noWrap w:val="0"/>
            <w:vAlign w:val="center"/>
          </w:tcPr>
          <w:p w14:paraId="7D9D06AC">
            <w:pPr>
              <w:autoSpaceDE w:val="0"/>
              <w:autoSpaceDN w:val="0"/>
              <w:adjustRightInd w:val="0"/>
              <w:snapToGrid w:val="0"/>
              <w:spacing w:beforeLines="15" w:line="276" w:lineRule="auto"/>
              <w:jc w:val="center"/>
              <w:rPr>
                <w:rFonts w:ascii="宋体" w:hAnsi="宋体" w:cs="宋体"/>
                <w:bCs/>
                <w:szCs w:val="21"/>
                <w:lang w:val="zh-CN"/>
              </w:rPr>
            </w:pPr>
            <w:r>
              <w:rPr>
                <w:rFonts w:hint="eastAsia" w:ascii="宋体" w:hAnsi="宋体" w:cs="宋体"/>
                <w:bCs/>
                <w:szCs w:val="21"/>
                <w:lang w:val="zh-CN"/>
              </w:rPr>
              <w:t>金融许可证</w:t>
            </w:r>
          </w:p>
        </w:tc>
        <w:tc>
          <w:tcPr>
            <w:tcW w:w="5818" w:type="dxa"/>
            <w:noWrap w:val="0"/>
            <w:vAlign w:val="center"/>
          </w:tcPr>
          <w:p w14:paraId="2ABBDFA8">
            <w:pPr>
              <w:autoSpaceDE w:val="0"/>
              <w:autoSpaceDN w:val="0"/>
              <w:adjustRightInd w:val="0"/>
              <w:snapToGrid w:val="0"/>
              <w:spacing w:beforeLines="15" w:line="276" w:lineRule="auto"/>
              <w:rPr>
                <w:rFonts w:ascii="宋体" w:hAnsi="宋体" w:cs="宋体"/>
                <w:bCs/>
                <w:szCs w:val="21"/>
                <w:lang w:val="zh-CN"/>
              </w:rPr>
            </w:pPr>
            <w:r>
              <w:rPr>
                <w:rFonts w:hint="eastAsia" w:ascii="宋体" w:hAnsi="宋体" w:cs="宋体"/>
                <w:bCs/>
                <w:szCs w:val="21"/>
                <w:lang w:val="zh-CN"/>
              </w:rPr>
              <w:t>符合投标人须知前附表1.</w:t>
            </w:r>
            <w:r>
              <w:rPr>
                <w:rFonts w:hint="eastAsia" w:ascii="宋体" w:hAnsi="宋体" w:cs="宋体"/>
                <w:bCs/>
                <w:szCs w:val="21"/>
              </w:rPr>
              <w:t>4</w:t>
            </w:r>
            <w:r>
              <w:rPr>
                <w:rFonts w:hint="eastAsia" w:ascii="宋体" w:hAnsi="宋体" w:cs="宋体"/>
                <w:bCs/>
                <w:szCs w:val="21"/>
                <w:lang w:val="zh-CN"/>
              </w:rPr>
              <w:t>.1项的规定，</w:t>
            </w:r>
            <w:r>
              <w:rPr>
                <w:rFonts w:hint="eastAsia" w:ascii="宋体" w:hAnsi="宋体" w:cs="宋体"/>
                <w:bCs/>
                <w:szCs w:val="21"/>
              </w:rPr>
              <w:t>标书里</w:t>
            </w:r>
            <w:r>
              <w:rPr>
                <w:rFonts w:hint="eastAsia" w:ascii="宋体" w:hAnsi="宋体" w:cs="宋体"/>
                <w:bCs/>
                <w:szCs w:val="21"/>
                <w:lang w:val="zh-CN"/>
              </w:rPr>
              <w:t>提供有效的复印件加盖公章。</w:t>
            </w:r>
            <w:r>
              <w:rPr>
                <w:rFonts w:hint="eastAsia" w:ascii="宋体" w:hAnsi="宋体" w:cs="宋体"/>
                <w:szCs w:val="21"/>
              </w:rPr>
              <w:t>带至开标现场单独提交一份</w:t>
            </w:r>
            <w:r>
              <w:rPr>
                <w:rFonts w:hint="eastAsia" w:ascii="宋体" w:hAnsi="宋体" w:cs="宋体"/>
                <w:bCs/>
                <w:szCs w:val="21"/>
              </w:rPr>
              <w:t>复印件加盖鲜章</w:t>
            </w:r>
            <w:r>
              <w:rPr>
                <w:rFonts w:hint="eastAsia" w:ascii="宋体" w:hAnsi="宋体" w:cs="宋体"/>
                <w:szCs w:val="21"/>
              </w:rPr>
              <w:t>，以备评标委员会认定。</w:t>
            </w:r>
          </w:p>
        </w:tc>
      </w:tr>
      <w:tr w14:paraId="4C7F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1180" w:type="dxa"/>
            <w:vMerge w:val="continue"/>
            <w:noWrap w:val="0"/>
            <w:vAlign w:val="center"/>
          </w:tcPr>
          <w:p w14:paraId="3623EA29">
            <w:pPr>
              <w:autoSpaceDE w:val="0"/>
              <w:autoSpaceDN w:val="0"/>
              <w:adjustRightInd w:val="0"/>
              <w:snapToGrid w:val="0"/>
              <w:spacing w:beforeLines="15" w:line="276" w:lineRule="auto"/>
              <w:rPr>
                <w:rFonts w:ascii="宋体" w:hAnsi="宋体" w:cs="宋体"/>
                <w:bCs/>
                <w:szCs w:val="21"/>
                <w:lang w:val="zh-CN"/>
              </w:rPr>
            </w:pPr>
          </w:p>
        </w:tc>
        <w:tc>
          <w:tcPr>
            <w:tcW w:w="2451" w:type="dxa"/>
            <w:noWrap w:val="0"/>
            <w:vAlign w:val="center"/>
          </w:tcPr>
          <w:p w14:paraId="35CE40FD">
            <w:pPr>
              <w:autoSpaceDE w:val="0"/>
              <w:autoSpaceDN w:val="0"/>
              <w:adjustRightInd w:val="0"/>
              <w:snapToGrid w:val="0"/>
              <w:spacing w:beforeLines="15" w:line="276" w:lineRule="auto"/>
              <w:jc w:val="center"/>
              <w:rPr>
                <w:rFonts w:ascii="宋体" w:hAnsi="宋体" w:cs="宋体"/>
                <w:bCs/>
                <w:szCs w:val="21"/>
                <w:lang w:val="zh-CN"/>
              </w:rPr>
            </w:pPr>
            <w:r>
              <w:rPr>
                <w:rFonts w:hint="eastAsia" w:ascii="宋体" w:hAnsi="宋体" w:cs="宋体"/>
                <w:bCs/>
                <w:szCs w:val="21"/>
                <w:lang w:val="zh-CN"/>
              </w:rPr>
              <w:t>信誉要求</w:t>
            </w:r>
          </w:p>
        </w:tc>
        <w:tc>
          <w:tcPr>
            <w:tcW w:w="5818" w:type="dxa"/>
            <w:noWrap w:val="0"/>
            <w:vAlign w:val="center"/>
          </w:tcPr>
          <w:p w14:paraId="0C471C5E">
            <w:pPr>
              <w:autoSpaceDE w:val="0"/>
              <w:autoSpaceDN w:val="0"/>
              <w:adjustRightInd w:val="0"/>
              <w:snapToGrid w:val="0"/>
              <w:spacing w:beforeLines="15" w:line="276" w:lineRule="auto"/>
              <w:rPr>
                <w:rFonts w:ascii="宋体" w:hAnsi="宋体" w:cs="宋体"/>
                <w:bCs/>
                <w:szCs w:val="21"/>
                <w:lang w:val="zh-CN"/>
              </w:rPr>
            </w:pPr>
            <w:r>
              <w:rPr>
                <w:rFonts w:hint="eastAsia" w:ascii="宋体" w:hAnsi="宋体" w:cs="宋体"/>
                <w:bCs/>
                <w:szCs w:val="21"/>
                <w:lang w:val="zh-CN"/>
              </w:rPr>
              <w:t>符合投标人须知前附表1.</w:t>
            </w:r>
            <w:r>
              <w:rPr>
                <w:rFonts w:hint="eastAsia" w:ascii="宋体" w:hAnsi="宋体" w:cs="宋体"/>
                <w:bCs/>
                <w:szCs w:val="21"/>
              </w:rPr>
              <w:t>4</w:t>
            </w:r>
            <w:r>
              <w:rPr>
                <w:rFonts w:hint="eastAsia" w:ascii="宋体" w:hAnsi="宋体" w:cs="宋体"/>
                <w:bCs/>
                <w:szCs w:val="21"/>
                <w:lang w:val="zh-CN"/>
              </w:rPr>
              <w:t>.1项的规定，提供信誉良好承诺书和银行自觉抵制商业贿赂行为承诺书并加盖公章，</w:t>
            </w:r>
            <w:r>
              <w:rPr>
                <w:rFonts w:hint="eastAsia" w:ascii="宋体" w:hAnsi="宋体" w:cs="宋体"/>
                <w:bCs/>
                <w:szCs w:val="21"/>
                <w:lang w:val="en-US" w:eastAsia="zh-CN"/>
              </w:rPr>
              <w:t>承诺书格式自拟</w:t>
            </w:r>
            <w:r>
              <w:rPr>
                <w:rFonts w:hint="eastAsia" w:ascii="宋体" w:hAnsi="宋体" w:cs="宋体"/>
                <w:bCs/>
                <w:szCs w:val="21"/>
                <w:lang w:val="zh-CN"/>
              </w:rPr>
              <w:t>。</w:t>
            </w:r>
          </w:p>
        </w:tc>
      </w:tr>
      <w:tr w14:paraId="029A2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1180" w:type="dxa"/>
            <w:vMerge w:val="continue"/>
            <w:noWrap w:val="0"/>
            <w:vAlign w:val="center"/>
          </w:tcPr>
          <w:p w14:paraId="158C3971">
            <w:pPr>
              <w:autoSpaceDE w:val="0"/>
              <w:autoSpaceDN w:val="0"/>
              <w:adjustRightInd w:val="0"/>
              <w:snapToGrid w:val="0"/>
              <w:spacing w:beforeLines="15" w:line="276" w:lineRule="auto"/>
              <w:rPr>
                <w:rFonts w:ascii="宋体" w:hAnsi="宋体" w:cs="宋体"/>
                <w:bCs/>
                <w:szCs w:val="21"/>
                <w:lang w:val="zh-CN"/>
              </w:rPr>
            </w:pPr>
          </w:p>
        </w:tc>
        <w:tc>
          <w:tcPr>
            <w:tcW w:w="2451" w:type="dxa"/>
            <w:noWrap w:val="0"/>
            <w:vAlign w:val="center"/>
          </w:tcPr>
          <w:p w14:paraId="5B9FA960">
            <w:pPr>
              <w:autoSpaceDE w:val="0"/>
              <w:autoSpaceDN w:val="0"/>
              <w:adjustRightInd w:val="0"/>
              <w:snapToGrid w:val="0"/>
              <w:spacing w:beforeLines="15" w:line="276" w:lineRule="auto"/>
              <w:jc w:val="center"/>
              <w:rPr>
                <w:rFonts w:hint="default" w:ascii="宋体" w:hAnsi="宋体" w:eastAsia="宋体" w:cs="宋体"/>
                <w:bCs/>
                <w:szCs w:val="21"/>
                <w:lang w:val="en-US" w:eastAsia="zh-CN"/>
              </w:rPr>
            </w:pPr>
            <w:r>
              <w:rPr>
                <w:rFonts w:hint="eastAsia" w:ascii="宋体" w:hAnsi="宋体" w:cs="宋体"/>
                <w:bCs/>
                <w:szCs w:val="21"/>
                <w:lang w:val="en-US" w:eastAsia="zh-CN"/>
              </w:rPr>
              <w:t>监管评级</w:t>
            </w:r>
          </w:p>
        </w:tc>
        <w:tc>
          <w:tcPr>
            <w:tcW w:w="5818" w:type="dxa"/>
            <w:noWrap w:val="0"/>
            <w:vAlign w:val="center"/>
          </w:tcPr>
          <w:p w14:paraId="6462F420">
            <w:pPr>
              <w:autoSpaceDE w:val="0"/>
              <w:autoSpaceDN w:val="0"/>
              <w:adjustRightInd w:val="0"/>
              <w:snapToGrid w:val="0"/>
              <w:spacing w:beforeLines="15" w:line="276" w:lineRule="auto"/>
              <w:rPr>
                <w:rFonts w:hint="default" w:ascii="宋体" w:hAnsi="宋体" w:eastAsia="宋体" w:cs="宋体"/>
                <w:bCs/>
                <w:szCs w:val="21"/>
                <w:lang w:val="en-US" w:eastAsia="zh-CN"/>
              </w:rPr>
            </w:pPr>
            <w:r>
              <w:rPr>
                <w:rFonts w:hint="eastAsia" w:ascii="宋体" w:hAnsi="宋体" w:cs="宋体"/>
                <w:szCs w:val="21"/>
              </w:rPr>
              <w:t>监管评级达到一定标准，人民银行上年度综合评级B级以上</w:t>
            </w:r>
            <w:r>
              <w:rPr>
                <w:rFonts w:hint="eastAsia" w:ascii="宋体" w:hAnsi="宋体" w:cs="宋体"/>
                <w:szCs w:val="21"/>
                <w:lang w:eastAsia="zh-CN"/>
              </w:rPr>
              <w:t>，</w:t>
            </w:r>
            <w:r>
              <w:rPr>
                <w:rFonts w:hint="eastAsia" w:ascii="宋体" w:hAnsi="宋体" w:cs="宋体"/>
                <w:szCs w:val="21"/>
                <w:lang w:val="en-US" w:eastAsia="zh-CN"/>
              </w:rPr>
              <w:t>提供有效的证明材料复印件加盖公章。</w:t>
            </w:r>
          </w:p>
        </w:tc>
      </w:tr>
      <w:tr w14:paraId="46CFF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1180" w:type="dxa"/>
            <w:vMerge w:val="continue"/>
            <w:noWrap w:val="0"/>
            <w:vAlign w:val="center"/>
          </w:tcPr>
          <w:p w14:paraId="1630F086">
            <w:pPr>
              <w:autoSpaceDE w:val="0"/>
              <w:autoSpaceDN w:val="0"/>
              <w:adjustRightInd w:val="0"/>
              <w:snapToGrid w:val="0"/>
              <w:spacing w:beforeLines="15" w:line="276" w:lineRule="auto"/>
              <w:rPr>
                <w:rFonts w:ascii="宋体" w:hAnsi="宋体" w:cs="宋体"/>
                <w:bCs/>
                <w:szCs w:val="21"/>
                <w:lang w:val="zh-CN"/>
              </w:rPr>
            </w:pPr>
          </w:p>
        </w:tc>
        <w:tc>
          <w:tcPr>
            <w:tcW w:w="2451" w:type="dxa"/>
            <w:noWrap w:val="0"/>
            <w:vAlign w:val="center"/>
          </w:tcPr>
          <w:p w14:paraId="088A5E01">
            <w:pPr>
              <w:autoSpaceDE w:val="0"/>
              <w:autoSpaceDN w:val="0"/>
              <w:adjustRightInd w:val="0"/>
              <w:snapToGrid w:val="0"/>
              <w:spacing w:beforeLines="15" w:line="276" w:lineRule="auto"/>
              <w:jc w:val="center"/>
              <w:rPr>
                <w:rFonts w:ascii="宋体" w:hAnsi="宋体" w:cs="宋体"/>
                <w:bCs/>
                <w:szCs w:val="21"/>
                <w:lang w:val="zh-CN"/>
              </w:rPr>
            </w:pPr>
            <w:r>
              <w:rPr>
                <w:rFonts w:hint="eastAsia" w:ascii="宋体" w:hAnsi="宋体" w:cs="宋体"/>
                <w:bCs/>
                <w:szCs w:val="21"/>
              </w:rPr>
              <w:t>财务</w:t>
            </w:r>
            <w:r>
              <w:rPr>
                <w:rFonts w:hint="eastAsia" w:ascii="宋体" w:hAnsi="宋体" w:cs="宋体"/>
                <w:bCs/>
                <w:szCs w:val="21"/>
                <w:lang w:val="zh-CN"/>
              </w:rPr>
              <w:t>报告</w:t>
            </w:r>
          </w:p>
        </w:tc>
        <w:tc>
          <w:tcPr>
            <w:tcW w:w="5818" w:type="dxa"/>
            <w:noWrap w:val="0"/>
            <w:vAlign w:val="center"/>
          </w:tcPr>
          <w:p w14:paraId="67AF5666">
            <w:pPr>
              <w:adjustRightInd w:val="0"/>
              <w:snapToGrid w:val="0"/>
              <w:rPr>
                <w:rFonts w:hint="default" w:ascii="宋体" w:hAnsi="宋体" w:eastAsia="宋体" w:cs="宋体"/>
                <w:bCs/>
                <w:szCs w:val="21"/>
                <w:lang w:val="en-US" w:eastAsia="zh-CN"/>
              </w:rPr>
            </w:pPr>
            <w:r>
              <w:rPr>
                <w:rFonts w:hint="eastAsia" w:ascii="宋体" w:hAnsi="宋体" w:cs="宋体"/>
                <w:szCs w:val="21"/>
              </w:rPr>
              <w:t>提供近三年（</w:t>
            </w:r>
            <w:r>
              <w:rPr>
                <w:rFonts w:hint="eastAsia" w:ascii="宋体" w:hAnsi="宋体" w:cs="宋体"/>
                <w:szCs w:val="21"/>
                <w:lang w:val="en-US" w:eastAsia="zh-CN"/>
              </w:rPr>
              <w:t>2022、2023、2024</w:t>
            </w:r>
            <w:r>
              <w:rPr>
                <w:rFonts w:hint="eastAsia" w:ascii="宋体" w:hAnsi="宋体" w:cs="宋体"/>
                <w:szCs w:val="21"/>
              </w:rPr>
              <w:t>年）经会计师事务所审计的财务审计报告。</w:t>
            </w:r>
            <w:r>
              <w:rPr>
                <w:rFonts w:hint="eastAsia" w:ascii="宋体" w:hAnsi="宋体" w:cs="宋体"/>
                <w:szCs w:val="21"/>
                <w:lang w:val="en-US" w:eastAsia="zh-CN"/>
              </w:rPr>
              <w:t>开标现场提供财务审计报告原件，以备评标委员会认定。</w:t>
            </w:r>
          </w:p>
        </w:tc>
      </w:tr>
      <w:tr w14:paraId="39B4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1180" w:type="dxa"/>
            <w:vMerge w:val="continue"/>
            <w:noWrap w:val="0"/>
            <w:vAlign w:val="center"/>
          </w:tcPr>
          <w:p w14:paraId="2328A008">
            <w:pPr>
              <w:autoSpaceDE w:val="0"/>
              <w:autoSpaceDN w:val="0"/>
              <w:adjustRightInd w:val="0"/>
              <w:snapToGrid w:val="0"/>
              <w:spacing w:beforeLines="15" w:line="276" w:lineRule="auto"/>
              <w:rPr>
                <w:rFonts w:ascii="宋体" w:hAnsi="宋体" w:cs="宋体"/>
                <w:bCs/>
                <w:szCs w:val="21"/>
                <w:lang w:val="zh-CN"/>
              </w:rPr>
            </w:pPr>
          </w:p>
        </w:tc>
        <w:tc>
          <w:tcPr>
            <w:tcW w:w="2451" w:type="dxa"/>
            <w:noWrap w:val="0"/>
            <w:vAlign w:val="center"/>
          </w:tcPr>
          <w:p w14:paraId="59ADE43B">
            <w:pPr>
              <w:autoSpaceDE w:val="0"/>
              <w:autoSpaceDN w:val="0"/>
              <w:adjustRightInd w:val="0"/>
              <w:jc w:val="center"/>
              <w:rPr>
                <w:rFonts w:ascii="宋体" w:hAnsi="宋体" w:cs="宋体"/>
                <w:bCs/>
                <w:szCs w:val="21"/>
                <w:lang w:val="zh-CN"/>
              </w:rPr>
            </w:pPr>
            <w:r>
              <w:rPr>
                <w:rFonts w:hint="eastAsia" w:ascii="宋体" w:hAnsi="宋体" w:cs="宋体"/>
                <w:bCs/>
                <w:szCs w:val="21"/>
                <w:lang w:val="zh-CN"/>
              </w:rPr>
              <w:t>负责人授权委托书</w:t>
            </w:r>
          </w:p>
        </w:tc>
        <w:tc>
          <w:tcPr>
            <w:tcW w:w="5818" w:type="dxa"/>
            <w:noWrap w:val="0"/>
            <w:vAlign w:val="center"/>
          </w:tcPr>
          <w:p w14:paraId="6C3D2EF1">
            <w:pPr>
              <w:autoSpaceDE w:val="0"/>
              <w:autoSpaceDN w:val="0"/>
              <w:adjustRightInd w:val="0"/>
              <w:jc w:val="center"/>
              <w:rPr>
                <w:rFonts w:ascii="宋体" w:hAnsi="宋体" w:cs="宋体"/>
                <w:szCs w:val="21"/>
                <w:lang w:val="zh-CN"/>
              </w:rPr>
            </w:pPr>
            <w:r>
              <w:rPr>
                <w:rFonts w:hint="eastAsia" w:ascii="宋体" w:hAnsi="宋体" w:cs="宋体"/>
                <w:szCs w:val="21"/>
              </w:rPr>
              <w:t>负责人代表授权书原件及被授权人身份证复印件加盖公章。</w:t>
            </w:r>
          </w:p>
        </w:tc>
      </w:tr>
      <w:tr w14:paraId="15EE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1180" w:type="dxa"/>
            <w:vMerge w:val="continue"/>
            <w:noWrap w:val="0"/>
            <w:vAlign w:val="center"/>
          </w:tcPr>
          <w:p w14:paraId="55D209DD">
            <w:pPr>
              <w:autoSpaceDE w:val="0"/>
              <w:autoSpaceDN w:val="0"/>
              <w:adjustRightInd w:val="0"/>
              <w:snapToGrid w:val="0"/>
              <w:spacing w:beforeLines="15" w:line="276" w:lineRule="auto"/>
              <w:rPr>
                <w:rFonts w:ascii="宋体" w:hAnsi="宋体" w:cs="宋体"/>
                <w:bCs/>
                <w:szCs w:val="21"/>
                <w:lang w:val="zh-CN"/>
              </w:rPr>
            </w:pPr>
          </w:p>
        </w:tc>
        <w:tc>
          <w:tcPr>
            <w:tcW w:w="2451" w:type="dxa"/>
            <w:noWrap w:val="0"/>
            <w:vAlign w:val="center"/>
          </w:tcPr>
          <w:p w14:paraId="46A0B0AD">
            <w:pPr>
              <w:jc w:val="center"/>
              <w:rPr>
                <w:rFonts w:hint="eastAsia" w:ascii="宋体" w:hAnsi="宋体" w:eastAsia="宋体" w:cs="宋体"/>
                <w:b w:val="0"/>
                <w:bCs/>
                <w:color w:val="auto"/>
                <w:kern w:val="2"/>
                <w:sz w:val="21"/>
                <w:szCs w:val="21"/>
                <w:lang w:val="zh-CN" w:eastAsia="zh-CN" w:bidi="ar-SA"/>
              </w:rPr>
            </w:pPr>
            <w:r>
              <w:rPr>
                <w:rFonts w:hint="eastAsia" w:ascii="宋体" w:hAnsi="宋体" w:eastAsia="宋体" w:cs="宋体"/>
                <w:b w:val="0"/>
                <w:bCs/>
                <w:color w:val="auto"/>
                <w:sz w:val="21"/>
                <w:szCs w:val="21"/>
              </w:rPr>
              <w:t>履约历史</w:t>
            </w:r>
          </w:p>
        </w:tc>
        <w:tc>
          <w:tcPr>
            <w:tcW w:w="5818" w:type="dxa"/>
            <w:noWrap w:val="0"/>
            <w:vAlign w:val="center"/>
          </w:tcPr>
          <w:p w14:paraId="5CB34412">
            <w:pPr>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参加政府采购活动前三年内（20</w:t>
            </w:r>
            <w:r>
              <w:rPr>
                <w:rFonts w:hint="eastAsia" w:ascii="宋体" w:hAnsi="宋体" w:eastAsia="宋体" w:cs="宋体"/>
                <w:b w:val="0"/>
                <w:bCs/>
                <w:color w:val="auto"/>
                <w:sz w:val="21"/>
                <w:szCs w:val="21"/>
                <w:lang w:val="en-US" w:eastAsia="zh-CN"/>
              </w:rPr>
              <w:t>22</w:t>
            </w:r>
            <w:r>
              <w:rPr>
                <w:rFonts w:hint="eastAsia" w:ascii="宋体" w:hAnsi="宋体" w:eastAsia="宋体" w:cs="宋体"/>
                <w:b w:val="0"/>
                <w:bCs/>
                <w:color w:val="auto"/>
                <w:sz w:val="21"/>
                <w:szCs w:val="21"/>
              </w:rPr>
              <w:t>年、20</w:t>
            </w:r>
            <w:r>
              <w:rPr>
                <w:rFonts w:hint="eastAsia" w:ascii="宋体" w:hAnsi="宋体" w:eastAsia="宋体" w:cs="宋体"/>
                <w:b w:val="0"/>
                <w:bCs/>
                <w:color w:val="auto"/>
                <w:sz w:val="21"/>
                <w:szCs w:val="21"/>
                <w:lang w:val="en-US" w:eastAsia="zh-CN"/>
              </w:rPr>
              <w:t>23</w:t>
            </w:r>
            <w:r>
              <w:rPr>
                <w:rFonts w:hint="eastAsia" w:ascii="宋体" w:hAnsi="宋体" w:eastAsia="宋体" w:cs="宋体"/>
                <w:b w:val="0"/>
                <w:bCs/>
                <w:color w:val="auto"/>
                <w:sz w:val="21"/>
                <w:szCs w:val="21"/>
              </w:rPr>
              <w:t>年</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2024年</w:t>
            </w:r>
            <w:r>
              <w:rPr>
                <w:rFonts w:hint="eastAsia" w:ascii="宋体" w:hAnsi="宋体" w:eastAsia="宋体" w:cs="宋体"/>
                <w:b w:val="0"/>
                <w:bCs/>
                <w:color w:val="auto"/>
                <w:sz w:val="21"/>
                <w:szCs w:val="21"/>
              </w:rPr>
              <w:t>）在经营活动中没有重大违法的书面声明。</w:t>
            </w:r>
          </w:p>
          <w:p w14:paraId="6DCDE52D">
            <w:pPr>
              <w:jc w:val="both"/>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rPr>
              <w:t>（提供法人代表或其授权委托人签字并加盖公章的承诺书</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格式自拟</w:t>
            </w:r>
            <w:r>
              <w:rPr>
                <w:rFonts w:hint="eastAsia" w:ascii="宋体" w:hAnsi="宋体" w:eastAsia="宋体" w:cs="宋体"/>
                <w:b w:val="0"/>
                <w:bCs/>
                <w:color w:val="auto"/>
                <w:sz w:val="21"/>
                <w:szCs w:val="21"/>
              </w:rPr>
              <w:t>）</w:t>
            </w:r>
          </w:p>
        </w:tc>
      </w:tr>
      <w:tr w14:paraId="16C0C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1180" w:type="dxa"/>
            <w:vMerge w:val="continue"/>
            <w:noWrap w:val="0"/>
            <w:vAlign w:val="center"/>
          </w:tcPr>
          <w:p w14:paraId="35B1AB26">
            <w:pPr>
              <w:autoSpaceDE w:val="0"/>
              <w:autoSpaceDN w:val="0"/>
              <w:adjustRightInd w:val="0"/>
              <w:snapToGrid w:val="0"/>
              <w:spacing w:beforeLines="15" w:line="276" w:lineRule="auto"/>
              <w:rPr>
                <w:rFonts w:ascii="宋体" w:hAnsi="宋体" w:cs="宋体"/>
                <w:bCs/>
                <w:szCs w:val="21"/>
                <w:lang w:val="zh-CN"/>
              </w:rPr>
            </w:pPr>
          </w:p>
        </w:tc>
        <w:tc>
          <w:tcPr>
            <w:tcW w:w="2451" w:type="dxa"/>
            <w:noWrap w:val="0"/>
            <w:vAlign w:val="center"/>
          </w:tcPr>
          <w:p w14:paraId="768AB75C">
            <w:pPr>
              <w:jc w:val="center"/>
              <w:rPr>
                <w:rFonts w:hint="eastAsia" w:ascii="宋体" w:hAnsi="宋体" w:eastAsia="宋体" w:cs="宋体"/>
                <w:b w:val="0"/>
                <w:bCs/>
                <w:color w:val="auto"/>
                <w:kern w:val="2"/>
                <w:sz w:val="21"/>
                <w:szCs w:val="21"/>
                <w:lang w:val="zh-CN" w:eastAsia="zh-CN" w:bidi="ar-SA"/>
              </w:rPr>
            </w:pPr>
            <w:r>
              <w:rPr>
                <w:rFonts w:hint="eastAsia" w:ascii="宋体" w:hAnsi="宋体" w:eastAsia="宋体" w:cs="宋体"/>
                <w:b w:val="0"/>
                <w:bCs/>
                <w:color w:val="auto"/>
                <w:sz w:val="21"/>
                <w:szCs w:val="21"/>
              </w:rPr>
              <w:t>其他要求</w:t>
            </w:r>
          </w:p>
        </w:tc>
        <w:tc>
          <w:tcPr>
            <w:tcW w:w="5818" w:type="dxa"/>
            <w:noWrap w:val="0"/>
            <w:vAlign w:val="center"/>
          </w:tcPr>
          <w:p w14:paraId="1D4B5235">
            <w:pPr>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A、与</w:t>
            </w:r>
            <w:r>
              <w:rPr>
                <w:rFonts w:hint="eastAsia" w:ascii="宋体" w:hAnsi="宋体" w:eastAsia="宋体" w:cs="宋体"/>
                <w:b w:val="0"/>
                <w:bCs/>
                <w:color w:val="auto"/>
                <w:sz w:val="21"/>
                <w:szCs w:val="21"/>
                <w:lang w:eastAsia="zh-CN"/>
              </w:rPr>
              <w:t>招标人</w:t>
            </w:r>
            <w:r>
              <w:rPr>
                <w:rFonts w:hint="eastAsia" w:ascii="宋体" w:hAnsi="宋体" w:eastAsia="宋体" w:cs="宋体"/>
                <w:b w:val="0"/>
                <w:bCs/>
                <w:color w:val="auto"/>
                <w:sz w:val="21"/>
                <w:szCs w:val="21"/>
              </w:rPr>
              <w:t>存在利益关系可能招标公正性的法人、其他组织或者个人，不得参加投标。单位负责人为同一人或者存在控股、管理关系的不同单位，不得参加同一标段投标或者未划分标段的同一采购项目投标。</w:t>
            </w:r>
          </w:p>
          <w:p w14:paraId="2B681215">
            <w:pPr>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（提供法人代表或授权代表人签字并加盖公章的承诺书</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格式自拟</w:t>
            </w:r>
            <w:r>
              <w:rPr>
                <w:rFonts w:hint="eastAsia" w:ascii="宋体" w:hAnsi="宋体" w:eastAsia="宋体" w:cs="宋体"/>
                <w:b w:val="0"/>
                <w:bCs/>
                <w:color w:val="auto"/>
                <w:sz w:val="21"/>
                <w:szCs w:val="21"/>
              </w:rPr>
              <w:t>）</w:t>
            </w:r>
          </w:p>
          <w:p w14:paraId="69D25B10">
            <w:pPr>
              <w:spacing w:line="240" w:lineRule="exact"/>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w:t>
            </w:r>
            <w:r>
              <w:rPr>
                <w:rFonts w:hint="eastAsia" w:ascii="宋体" w:hAnsi="宋体" w:eastAsia="宋体" w:cs="宋体"/>
                <w:b w:val="0"/>
                <w:bCs/>
                <w:color w:val="auto"/>
                <w:sz w:val="21"/>
                <w:szCs w:val="21"/>
                <w:lang w:eastAsia="zh-CN"/>
              </w:rPr>
              <w:t>投标文人</w:t>
            </w:r>
            <w:r>
              <w:rPr>
                <w:rFonts w:hint="eastAsia" w:ascii="宋体" w:hAnsi="宋体" w:eastAsia="宋体" w:cs="宋体"/>
                <w:b w:val="0"/>
                <w:bCs/>
                <w:color w:val="auto"/>
                <w:sz w:val="21"/>
                <w:szCs w:val="21"/>
              </w:rPr>
              <w:t>不得为“信用中国”网站（www.creditchin</w:t>
            </w:r>
            <w:r>
              <w:rPr>
                <w:rFonts w:hint="eastAsia" w:ascii="宋体" w:hAnsi="宋体" w:eastAsia="宋体" w:cs="宋体"/>
                <w:b w:val="0"/>
                <w:bCs/>
                <w:color w:val="auto"/>
                <w:sz w:val="21"/>
                <w:szCs w:val="21"/>
                <w:lang w:val="en-US" w:eastAsia="zh-CN"/>
              </w:rPr>
              <w:t>a</w:t>
            </w:r>
            <w:r>
              <w:rPr>
                <w:rFonts w:hint="eastAsia" w:ascii="宋体" w:hAnsi="宋体" w:eastAsia="宋体" w:cs="宋体"/>
                <w:b w:val="0"/>
                <w:bCs/>
                <w:color w:val="auto"/>
                <w:sz w:val="21"/>
                <w:szCs w:val="21"/>
              </w:rPr>
              <w:t>.gov.cn）中列入失信被执行人和重大税收违法案件当事人名单的</w:t>
            </w:r>
            <w:r>
              <w:rPr>
                <w:rFonts w:hint="eastAsia" w:ascii="宋体" w:hAnsi="宋体" w:eastAsia="宋体" w:cs="宋体"/>
                <w:b w:val="0"/>
                <w:bCs/>
                <w:color w:val="auto"/>
                <w:sz w:val="21"/>
                <w:szCs w:val="21"/>
                <w:lang w:eastAsia="zh-CN"/>
              </w:rPr>
              <w:t>投标文人</w:t>
            </w:r>
            <w:r>
              <w:rPr>
                <w:rFonts w:hint="eastAsia" w:ascii="宋体" w:hAnsi="宋体" w:eastAsia="宋体" w:cs="宋体"/>
                <w:b w:val="0"/>
                <w:bCs/>
                <w:color w:val="auto"/>
                <w:sz w:val="21"/>
                <w:szCs w:val="21"/>
              </w:rPr>
              <w:t>，不得为中国政府采购网（www.ccgp.gov.cn）政府采购严重违法失信行为记录名单中被财政部门禁止参加政府采购活动的</w:t>
            </w:r>
            <w:r>
              <w:rPr>
                <w:rFonts w:hint="eastAsia" w:ascii="宋体" w:hAnsi="宋体" w:eastAsia="宋体" w:cs="宋体"/>
                <w:b w:val="0"/>
                <w:bCs/>
                <w:color w:val="auto"/>
                <w:sz w:val="21"/>
                <w:szCs w:val="21"/>
                <w:lang w:eastAsia="zh-CN"/>
              </w:rPr>
              <w:t>投标文人</w:t>
            </w:r>
            <w:r>
              <w:rPr>
                <w:rFonts w:hint="eastAsia" w:ascii="宋体" w:hAnsi="宋体" w:eastAsia="宋体" w:cs="宋体"/>
                <w:b w:val="0"/>
                <w:bCs/>
                <w:color w:val="auto"/>
                <w:sz w:val="21"/>
                <w:szCs w:val="21"/>
              </w:rPr>
              <w:t>（在处罚决定规定的时间和地域范围内）（详见财库【2016】125号文）；</w:t>
            </w:r>
          </w:p>
          <w:p w14:paraId="2520A185">
            <w:pPr>
              <w:jc w:val="both"/>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rPr>
              <w:t>（提供截图并加盖公章，须包括单位名称、查询内容及查询时间）</w:t>
            </w:r>
          </w:p>
        </w:tc>
      </w:tr>
      <w:tr w14:paraId="1FA4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1180" w:type="dxa"/>
            <w:vMerge w:val="restart"/>
            <w:noWrap w:val="0"/>
            <w:vAlign w:val="center"/>
          </w:tcPr>
          <w:p w14:paraId="05511B4B">
            <w:pPr>
              <w:autoSpaceDE w:val="0"/>
              <w:autoSpaceDN w:val="0"/>
              <w:adjustRightInd w:val="0"/>
              <w:snapToGrid w:val="0"/>
              <w:spacing w:beforeLines="15" w:line="276" w:lineRule="auto"/>
              <w:jc w:val="center"/>
              <w:rPr>
                <w:rFonts w:ascii="宋体" w:hAnsi="宋体" w:cs="宋体"/>
                <w:bCs/>
                <w:szCs w:val="21"/>
                <w:lang w:val="zh-CN"/>
              </w:rPr>
            </w:pPr>
            <w:r>
              <w:rPr>
                <w:rFonts w:hint="eastAsia" w:ascii="宋体" w:hAnsi="宋体" w:cs="宋体"/>
                <w:bCs/>
                <w:szCs w:val="21"/>
                <w:lang w:val="zh-CN"/>
              </w:rPr>
              <w:t>响应性</w:t>
            </w:r>
          </w:p>
          <w:p w14:paraId="1021DE55">
            <w:pPr>
              <w:autoSpaceDE w:val="0"/>
              <w:autoSpaceDN w:val="0"/>
              <w:adjustRightInd w:val="0"/>
              <w:snapToGrid w:val="0"/>
              <w:spacing w:beforeLines="15" w:line="276" w:lineRule="auto"/>
              <w:jc w:val="center"/>
              <w:rPr>
                <w:rFonts w:ascii="宋体" w:hAnsi="宋体" w:cs="宋体"/>
                <w:bCs/>
                <w:szCs w:val="21"/>
                <w:lang w:val="zh-CN"/>
              </w:rPr>
            </w:pPr>
            <w:r>
              <w:rPr>
                <w:rFonts w:hint="eastAsia" w:ascii="宋体" w:hAnsi="宋体" w:cs="宋体"/>
                <w:bCs/>
                <w:szCs w:val="21"/>
                <w:lang w:val="zh-CN"/>
              </w:rPr>
              <w:t>评审</w:t>
            </w:r>
          </w:p>
          <w:p w14:paraId="0820C8AD">
            <w:pPr>
              <w:autoSpaceDE w:val="0"/>
              <w:autoSpaceDN w:val="0"/>
              <w:adjustRightInd w:val="0"/>
              <w:snapToGrid w:val="0"/>
              <w:spacing w:beforeLines="15" w:line="276" w:lineRule="auto"/>
              <w:jc w:val="center"/>
              <w:rPr>
                <w:rFonts w:ascii="宋体" w:hAnsi="宋体" w:cs="宋体"/>
                <w:bCs/>
                <w:szCs w:val="21"/>
                <w:lang w:val="zh-CN"/>
              </w:rPr>
            </w:pPr>
            <w:r>
              <w:rPr>
                <w:rFonts w:hint="eastAsia" w:ascii="宋体" w:hAnsi="宋体" w:cs="宋体"/>
                <w:bCs/>
                <w:szCs w:val="21"/>
                <w:lang w:val="zh-CN"/>
              </w:rPr>
              <w:t>标准</w:t>
            </w:r>
          </w:p>
        </w:tc>
        <w:tc>
          <w:tcPr>
            <w:tcW w:w="2451" w:type="dxa"/>
            <w:noWrap w:val="0"/>
            <w:vAlign w:val="center"/>
          </w:tcPr>
          <w:p w14:paraId="56FDA538">
            <w:pPr>
              <w:autoSpaceDE w:val="0"/>
              <w:autoSpaceDN w:val="0"/>
              <w:adjustRightInd w:val="0"/>
              <w:snapToGrid w:val="0"/>
              <w:spacing w:beforeLines="15" w:line="276" w:lineRule="auto"/>
              <w:jc w:val="center"/>
              <w:rPr>
                <w:rFonts w:ascii="宋体" w:hAnsi="宋体" w:cs="宋体"/>
                <w:bCs/>
                <w:szCs w:val="21"/>
                <w:lang w:val="zh-CN"/>
              </w:rPr>
            </w:pPr>
            <w:r>
              <w:rPr>
                <w:rFonts w:hint="eastAsia" w:ascii="宋体" w:hAnsi="宋体" w:cs="宋体"/>
                <w:bCs/>
                <w:szCs w:val="21"/>
                <w:lang w:val="zh-CN"/>
              </w:rPr>
              <w:t>服务内容</w:t>
            </w:r>
          </w:p>
        </w:tc>
        <w:tc>
          <w:tcPr>
            <w:tcW w:w="5818" w:type="dxa"/>
            <w:noWrap w:val="0"/>
            <w:vAlign w:val="center"/>
          </w:tcPr>
          <w:p w14:paraId="747FC80D">
            <w:pPr>
              <w:autoSpaceDE w:val="0"/>
              <w:autoSpaceDN w:val="0"/>
              <w:adjustRightInd w:val="0"/>
              <w:snapToGrid w:val="0"/>
              <w:spacing w:beforeLines="15" w:line="276" w:lineRule="auto"/>
              <w:jc w:val="left"/>
              <w:rPr>
                <w:rFonts w:ascii="宋体" w:hAnsi="宋体" w:cs="宋体"/>
                <w:bCs/>
                <w:szCs w:val="21"/>
                <w:lang w:val="zh-CN"/>
              </w:rPr>
            </w:pPr>
            <w:r>
              <w:rPr>
                <w:rFonts w:hint="eastAsia" w:ascii="宋体" w:hAnsi="宋体" w:cs="宋体"/>
                <w:bCs/>
                <w:szCs w:val="21"/>
                <w:lang w:val="zh-CN"/>
              </w:rPr>
              <w:t>符合投标人须知前附表1.</w:t>
            </w:r>
            <w:r>
              <w:rPr>
                <w:rFonts w:hint="eastAsia" w:ascii="宋体" w:hAnsi="宋体" w:cs="宋体"/>
                <w:bCs/>
                <w:szCs w:val="21"/>
              </w:rPr>
              <w:t>3</w:t>
            </w:r>
            <w:r>
              <w:rPr>
                <w:rFonts w:hint="eastAsia" w:ascii="宋体" w:hAnsi="宋体" w:cs="宋体"/>
                <w:bCs/>
                <w:szCs w:val="21"/>
                <w:lang w:val="zh-CN"/>
              </w:rPr>
              <w:t>.1项的规定</w:t>
            </w:r>
          </w:p>
        </w:tc>
      </w:tr>
      <w:tr w14:paraId="638C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1180" w:type="dxa"/>
            <w:vMerge w:val="continue"/>
            <w:noWrap w:val="0"/>
            <w:vAlign w:val="center"/>
          </w:tcPr>
          <w:p w14:paraId="62CF468B">
            <w:pPr>
              <w:autoSpaceDE w:val="0"/>
              <w:autoSpaceDN w:val="0"/>
              <w:adjustRightInd w:val="0"/>
              <w:snapToGrid w:val="0"/>
              <w:spacing w:beforeLines="15" w:line="276" w:lineRule="auto"/>
              <w:jc w:val="center"/>
              <w:rPr>
                <w:rFonts w:ascii="宋体" w:hAnsi="宋体" w:cs="宋体"/>
                <w:bCs/>
                <w:szCs w:val="21"/>
                <w:lang w:val="zh-CN"/>
              </w:rPr>
            </w:pPr>
          </w:p>
        </w:tc>
        <w:tc>
          <w:tcPr>
            <w:tcW w:w="2451" w:type="dxa"/>
            <w:noWrap w:val="0"/>
            <w:vAlign w:val="center"/>
          </w:tcPr>
          <w:p w14:paraId="32E6AD15">
            <w:pPr>
              <w:autoSpaceDE w:val="0"/>
              <w:autoSpaceDN w:val="0"/>
              <w:adjustRightInd w:val="0"/>
              <w:snapToGrid w:val="0"/>
              <w:spacing w:beforeLines="15" w:line="276" w:lineRule="auto"/>
              <w:jc w:val="center"/>
              <w:rPr>
                <w:rFonts w:ascii="宋体" w:hAnsi="宋体" w:cs="宋体"/>
                <w:bCs/>
                <w:szCs w:val="21"/>
                <w:lang w:val="zh-CN"/>
              </w:rPr>
            </w:pPr>
            <w:r>
              <w:rPr>
                <w:rFonts w:hint="eastAsia" w:ascii="宋体" w:hAnsi="宋体" w:cs="宋体"/>
                <w:bCs/>
                <w:szCs w:val="21"/>
                <w:lang w:val="zh-CN"/>
              </w:rPr>
              <w:t>服务周期</w:t>
            </w:r>
          </w:p>
        </w:tc>
        <w:tc>
          <w:tcPr>
            <w:tcW w:w="5818" w:type="dxa"/>
            <w:noWrap w:val="0"/>
            <w:vAlign w:val="center"/>
          </w:tcPr>
          <w:p w14:paraId="6EE9CE94">
            <w:pPr>
              <w:autoSpaceDE w:val="0"/>
              <w:autoSpaceDN w:val="0"/>
              <w:adjustRightInd w:val="0"/>
              <w:snapToGrid w:val="0"/>
              <w:spacing w:beforeLines="15" w:line="276" w:lineRule="auto"/>
              <w:jc w:val="left"/>
              <w:rPr>
                <w:rFonts w:ascii="宋体" w:hAnsi="宋体" w:cs="宋体"/>
                <w:bCs/>
                <w:szCs w:val="21"/>
                <w:lang w:val="zh-CN"/>
              </w:rPr>
            </w:pPr>
            <w:r>
              <w:rPr>
                <w:rFonts w:hint="eastAsia" w:ascii="宋体" w:hAnsi="宋体" w:cs="宋体"/>
                <w:bCs/>
                <w:szCs w:val="21"/>
                <w:lang w:val="zh-CN"/>
              </w:rPr>
              <w:t>符合投标人须知前附表1.</w:t>
            </w:r>
            <w:r>
              <w:rPr>
                <w:rFonts w:hint="eastAsia" w:ascii="宋体" w:hAnsi="宋体" w:cs="宋体"/>
                <w:bCs/>
                <w:szCs w:val="21"/>
              </w:rPr>
              <w:t>3</w:t>
            </w:r>
            <w:r>
              <w:rPr>
                <w:rFonts w:hint="eastAsia" w:ascii="宋体" w:hAnsi="宋体" w:cs="宋体"/>
                <w:bCs/>
                <w:szCs w:val="21"/>
                <w:lang w:val="zh-CN"/>
              </w:rPr>
              <w:t>.2项的规定</w:t>
            </w:r>
          </w:p>
        </w:tc>
      </w:tr>
      <w:tr w14:paraId="0F97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180" w:type="dxa"/>
            <w:vMerge w:val="continue"/>
            <w:noWrap w:val="0"/>
            <w:vAlign w:val="top"/>
          </w:tcPr>
          <w:p w14:paraId="7A4FE8F5">
            <w:pPr>
              <w:autoSpaceDE w:val="0"/>
              <w:autoSpaceDN w:val="0"/>
              <w:adjustRightInd w:val="0"/>
              <w:snapToGrid w:val="0"/>
              <w:spacing w:beforeLines="15" w:line="276" w:lineRule="auto"/>
              <w:jc w:val="left"/>
              <w:rPr>
                <w:rFonts w:ascii="宋体" w:hAnsi="宋体" w:cs="宋体"/>
                <w:bCs/>
                <w:szCs w:val="21"/>
                <w:lang w:val="zh-CN"/>
              </w:rPr>
            </w:pPr>
          </w:p>
        </w:tc>
        <w:tc>
          <w:tcPr>
            <w:tcW w:w="2451" w:type="dxa"/>
            <w:noWrap w:val="0"/>
            <w:vAlign w:val="center"/>
          </w:tcPr>
          <w:p w14:paraId="492F1E5B">
            <w:pPr>
              <w:autoSpaceDE w:val="0"/>
              <w:autoSpaceDN w:val="0"/>
              <w:adjustRightInd w:val="0"/>
              <w:snapToGrid w:val="0"/>
              <w:spacing w:beforeLines="15" w:line="276" w:lineRule="auto"/>
              <w:jc w:val="center"/>
              <w:rPr>
                <w:rFonts w:ascii="宋体" w:hAnsi="宋体" w:cs="宋体"/>
                <w:bCs/>
                <w:szCs w:val="21"/>
                <w:lang w:val="zh-CN"/>
              </w:rPr>
            </w:pPr>
            <w:r>
              <w:rPr>
                <w:rFonts w:hint="eastAsia" w:ascii="宋体" w:hAnsi="宋体" w:cs="宋体"/>
                <w:bCs/>
                <w:szCs w:val="21"/>
                <w:lang w:val="zh-CN"/>
              </w:rPr>
              <w:t>投标有效期</w:t>
            </w:r>
          </w:p>
        </w:tc>
        <w:tc>
          <w:tcPr>
            <w:tcW w:w="5818" w:type="dxa"/>
            <w:noWrap w:val="0"/>
            <w:vAlign w:val="center"/>
          </w:tcPr>
          <w:p w14:paraId="0837B11B">
            <w:pPr>
              <w:autoSpaceDE w:val="0"/>
              <w:autoSpaceDN w:val="0"/>
              <w:adjustRightInd w:val="0"/>
              <w:snapToGrid w:val="0"/>
              <w:spacing w:beforeLines="15" w:line="276" w:lineRule="auto"/>
              <w:rPr>
                <w:rFonts w:ascii="宋体" w:hAnsi="宋体" w:cs="宋体"/>
                <w:bCs/>
                <w:szCs w:val="21"/>
                <w:lang w:val="zh-CN"/>
              </w:rPr>
            </w:pPr>
            <w:r>
              <w:rPr>
                <w:rFonts w:hint="eastAsia" w:ascii="宋体" w:hAnsi="宋体" w:cs="宋体"/>
                <w:bCs/>
                <w:szCs w:val="21"/>
                <w:lang w:val="zh-CN"/>
              </w:rPr>
              <w:t>90日历天（从投标截止之日算起）</w:t>
            </w:r>
          </w:p>
        </w:tc>
      </w:tr>
      <w:tr w14:paraId="67A6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180" w:type="dxa"/>
            <w:vMerge w:val="continue"/>
            <w:noWrap w:val="0"/>
            <w:vAlign w:val="top"/>
          </w:tcPr>
          <w:p w14:paraId="2F0E42DC">
            <w:pPr>
              <w:autoSpaceDE w:val="0"/>
              <w:autoSpaceDN w:val="0"/>
              <w:adjustRightInd w:val="0"/>
              <w:snapToGrid w:val="0"/>
              <w:spacing w:beforeLines="15" w:line="276" w:lineRule="auto"/>
              <w:jc w:val="left"/>
              <w:rPr>
                <w:rFonts w:ascii="宋体" w:hAnsi="宋体" w:cs="宋体"/>
                <w:bCs/>
                <w:szCs w:val="21"/>
                <w:lang w:val="zh-CN"/>
              </w:rPr>
            </w:pPr>
          </w:p>
        </w:tc>
        <w:tc>
          <w:tcPr>
            <w:tcW w:w="2451" w:type="dxa"/>
            <w:noWrap w:val="0"/>
            <w:vAlign w:val="center"/>
          </w:tcPr>
          <w:p w14:paraId="03881177">
            <w:pPr>
              <w:autoSpaceDE w:val="0"/>
              <w:autoSpaceDN w:val="0"/>
              <w:adjustRightInd w:val="0"/>
              <w:snapToGrid w:val="0"/>
              <w:spacing w:beforeLines="15" w:line="276" w:lineRule="auto"/>
              <w:jc w:val="center"/>
              <w:rPr>
                <w:rFonts w:ascii="宋体" w:hAnsi="宋体" w:cs="宋体"/>
                <w:bCs/>
                <w:szCs w:val="21"/>
                <w:lang w:val="zh-CN"/>
              </w:rPr>
            </w:pPr>
            <w:r>
              <w:rPr>
                <w:rFonts w:hint="eastAsia" w:ascii="宋体" w:hAnsi="宋体" w:cs="宋体"/>
                <w:bCs/>
                <w:szCs w:val="21"/>
                <w:lang w:val="zh-CN"/>
              </w:rPr>
              <w:t>权利义务</w:t>
            </w:r>
          </w:p>
        </w:tc>
        <w:tc>
          <w:tcPr>
            <w:tcW w:w="5818" w:type="dxa"/>
            <w:noWrap w:val="0"/>
            <w:vAlign w:val="center"/>
          </w:tcPr>
          <w:p w14:paraId="267109EA">
            <w:pPr>
              <w:autoSpaceDE w:val="0"/>
              <w:autoSpaceDN w:val="0"/>
              <w:adjustRightInd w:val="0"/>
              <w:snapToGrid w:val="0"/>
              <w:spacing w:beforeLines="15" w:line="276" w:lineRule="auto"/>
              <w:rPr>
                <w:rFonts w:ascii="宋体" w:hAnsi="宋体" w:cs="宋体"/>
                <w:bCs/>
                <w:szCs w:val="21"/>
                <w:lang w:val="zh-CN"/>
              </w:rPr>
            </w:pPr>
            <w:r>
              <w:rPr>
                <w:rFonts w:hint="eastAsia" w:ascii="宋体" w:hAnsi="宋体" w:cs="宋体"/>
                <w:bCs/>
                <w:szCs w:val="21"/>
                <w:lang w:val="zh-CN"/>
              </w:rPr>
              <w:t>响应第五章“银行服务业务相关要求” 的规定，提供有法定代表人或其委托的授权人签字并加盖企业公章的承诺书，</w:t>
            </w:r>
            <w:r>
              <w:rPr>
                <w:rFonts w:hint="eastAsia" w:ascii="宋体" w:hAnsi="宋体" w:cs="宋体"/>
                <w:bCs/>
                <w:szCs w:val="21"/>
                <w:lang w:val="en-US" w:eastAsia="zh-CN"/>
              </w:rPr>
              <w:t>格式自拟</w:t>
            </w:r>
            <w:r>
              <w:rPr>
                <w:rFonts w:hint="eastAsia" w:ascii="宋体" w:hAnsi="宋体" w:cs="宋体"/>
                <w:bCs/>
                <w:szCs w:val="21"/>
                <w:lang w:val="zh-CN"/>
              </w:rPr>
              <w:t>。</w:t>
            </w:r>
          </w:p>
        </w:tc>
      </w:tr>
    </w:tbl>
    <w:p w14:paraId="3946F98A">
      <w:pPr>
        <w:pStyle w:val="6"/>
        <w:adjustRightInd w:val="0"/>
        <w:snapToGrid w:val="0"/>
        <w:rPr>
          <w:rFonts w:hAnsi="宋体" w:cs="宋体"/>
        </w:rPr>
      </w:pPr>
      <w:r>
        <w:rPr>
          <w:rFonts w:hint="eastAsia" w:hAnsi="宋体" w:cs="宋体"/>
        </w:rPr>
        <w:t>注：1、“√”为合格，“×”为不合格；其中有一项不合格则评审结果为不合格。</w:t>
      </w:r>
    </w:p>
    <w:p w14:paraId="39219FAA">
      <w:pPr>
        <w:pStyle w:val="6"/>
        <w:adjustRightInd w:val="0"/>
        <w:snapToGrid w:val="0"/>
        <w:ind w:firstLine="420" w:firstLineChars="200"/>
        <w:rPr>
          <w:rFonts w:hAnsi="宋体" w:cs="宋体"/>
        </w:rPr>
      </w:pPr>
      <w:r>
        <w:rPr>
          <w:rFonts w:hint="eastAsia" w:hAnsi="宋体" w:cs="宋体"/>
        </w:rPr>
        <w:t>2、如评审不合格需注明不合格原因。</w:t>
      </w:r>
    </w:p>
    <w:p w14:paraId="4F9CB75C">
      <w:pPr>
        <w:rPr>
          <w:rFonts w:ascii="宋体" w:hAnsi="宋体" w:cs="宋体"/>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63AE756C">
      <w:pPr>
        <w:spacing w:line="400" w:lineRule="exact"/>
        <w:jc w:val="both"/>
        <w:rPr>
          <w:rFonts w:hint="eastAsia" w:ascii="宋体" w:hAnsi="宋体" w:cs="宋体"/>
          <w:sz w:val="24"/>
        </w:rPr>
      </w:pPr>
      <w:r>
        <w:rPr>
          <w:rStyle w:val="15"/>
          <w:rFonts w:hint="eastAsia" w:ascii="宋体" w:hAnsi="宋体" w:cs="宋体"/>
          <w:sz w:val="24"/>
          <w:szCs w:val="24"/>
          <w:lang w:val="en-US" w:eastAsia="zh-CN"/>
        </w:rPr>
        <w:t xml:space="preserve">附表3：                           </w:t>
      </w:r>
      <w:r>
        <w:rPr>
          <w:rFonts w:hint="eastAsia" w:ascii="宋体" w:hAnsi="宋体" w:cs="宋体"/>
          <w:sz w:val="24"/>
        </w:rPr>
        <w:t>评审办法前附表（二）</w:t>
      </w:r>
    </w:p>
    <w:tbl>
      <w:tblPr>
        <w:tblStyle w:val="10"/>
        <w:tblW w:w="101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7"/>
        <w:gridCol w:w="1909"/>
        <w:gridCol w:w="701"/>
        <w:gridCol w:w="1955"/>
        <w:gridCol w:w="4125"/>
        <w:gridCol w:w="742"/>
      </w:tblGrid>
      <w:tr w14:paraId="6A5BE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67" w:type="dxa"/>
            <w:tcBorders>
              <w:top w:val="single" w:color="000000" w:sz="4" w:space="0"/>
              <w:left w:val="single" w:color="000000" w:sz="4" w:space="0"/>
              <w:bottom w:val="single" w:color="000000" w:sz="4" w:space="0"/>
              <w:right w:val="single" w:color="000000" w:sz="4" w:space="0"/>
            </w:tcBorders>
            <w:noWrap/>
            <w:vAlign w:val="center"/>
          </w:tcPr>
          <w:p w14:paraId="2D3CF2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610" w:type="dxa"/>
            <w:gridSpan w:val="2"/>
            <w:tcBorders>
              <w:top w:val="single" w:color="000000" w:sz="4" w:space="0"/>
              <w:left w:val="single" w:color="000000" w:sz="4" w:space="0"/>
              <w:bottom w:val="single" w:color="000000" w:sz="4" w:space="0"/>
              <w:right w:val="single" w:color="000000" w:sz="4" w:space="0"/>
            </w:tcBorders>
            <w:noWrap/>
            <w:vAlign w:val="center"/>
          </w:tcPr>
          <w:p w14:paraId="090648D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评审因素</w:t>
            </w:r>
          </w:p>
        </w:tc>
        <w:tc>
          <w:tcPr>
            <w:tcW w:w="6822" w:type="dxa"/>
            <w:gridSpan w:val="3"/>
            <w:tcBorders>
              <w:top w:val="single" w:color="000000" w:sz="4" w:space="0"/>
              <w:left w:val="single" w:color="000000" w:sz="4" w:space="0"/>
              <w:bottom w:val="single" w:color="000000" w:sz="4" w:space="0"/>
              <w:right w:val="single" w:color="000000" w:sz="4" w:space="0"/>
            </w:tcBorders>
            <w:noWrap/>
            <w:vAlign w:val="center"/>
          </w:tcPr>
          <w:p w14:paraId="1A3117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评审标准</w:t>
            </w:r>
          </w:p>
        </w:tc>
      </w:tr>
      <w:tr w14:paraId="0D24B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4" w:hRule="atLeast"/>
          <w:jc w:val="center"/>
        </w:trPr>
        <w:tc>
          <w:tcPr>
            <w:tcW w:w="767" w:type="dxa"/>
            <w:tcBorders>
              <w:top w:val="single" w:color="000000" w:sz="4" w:space="0"/>
              <w:left w:val="single" w:color="000000" w:sz="4" w:space="0"/>
              <w:bottom w:val="single" w:color="000000" w:sz="4" w:space="0"/>
              <w:right w:val="single" w:color="000000" w:sz="4" w:space="0"/>
            </w:tcBorders>
            <w:noWrap w:val="0"/>
            <w:vAlign w:val="center"/>
          </w:tcPr>
          <w:p w14:paraId="3D7750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58F507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分值构成</w:t>
            </w:r>
          </w:p>
          <w:p w14:paraId="6F5220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（总分</w:t>
            </w:r>
            <w:r>
              <w:rPr>
                <w:rFonts w:hint="default" w:ascii="Times New Roman" w:hAnsi="Times New Roman" w:eastAsia="宋体" w:cs="Times New Roman"/>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分）</w:t>
            </w:r>
          </w:p>
        </w:tc>
        <w:tc>
          <w:tcPr>
            <w:tcW w:w="6822" w:type="dxa"/>
            <w:gridSpan w:val="3"/>
            <w:tcBorders>
              <w:top w:val="single" w:color="000000" w:sz="4" w:space="0"/>
              <w:left w:val="single" w:color="000000" w:sz="4" w:space="0"/>
              <w:bottom w:val="single" w:color="000000" w:sz="4" w:space="0"/>
              <w:right w:val="single" w:color="000000" w:sz="4" w:space="0"/>
            </w:tcBorders>
            <w:noWrap w:val="0"/>
            <w:vAlign w:val="center"/>
          </w:tcPr>
          <w:p w14:paraId="2310B4C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（一）经营状况指标（3</w:t>
            </w: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分）                                                     （二）利率水平指标（</w:t>
            </w: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分）                                                        （三）对地方经济贡献指标（3</w:t>
            </w: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分）                                                         （四）服务能力指标（3</w:t>
            </w: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分）</w:t>
            </w:r>
          </w:p>
        </w:tc>
      </w:tr>
      <w:tr w14:paraId="5294F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2676" w:type="dxa"/>
            <w:gridSpan w:val="2"/>
            <w:tcBorders>
              <w:top w:val="single" w:color="000000" w:sz="4" w:space="0"/>
              <w:left w:val="single" w:color="000000" w:sz="4" w:space="0"/>
              <w:bottom w:val="single" w:color="000000" w:sz="4" w:space="0"/>
              <w:right w:val="single" w:color="000000" w:sz="4" w:space="0"/>
            </w:tcBorders>
            <w:noWrap w:val="0"/>
            <w:vAlign w:val="center"/>
          </w:tcPr>
          <w:p w14:paraId="0CE990B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评分指标</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14:paraId="0E65A3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分值</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40A0C2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评分细则</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475DA7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备注</w:t>
            </w:r>
            <w:r>
              <w:rPr>
                <w:rFonts w:hint="eastAsia" w:ascii="宋体" w:hAnsi="宋体" w:cs="宋体"/>
                <w:b/>
                <w:bCs/>
                <w:i w:val="0"/>
                <w:iCs w:val="0"/>
                <w:color w:val="000000"/>
                <w:kern w:val="0"/>
                <w:sz w:val="21"/>
                <w:szCs w:val="21"/>
                <w:u w:val="none"/>
                <w:lang w:val="en-US" w:eastAsia="zh-CN" w:bidi="ar"/>
              </w:rPr>
              <w:t>说明</w:t>
            </w:r>
          </w:p>
        </w:tc>
        <w:tc>
          <w:tcPr>
            <w:tcW w:w="742" w:type="dxa"/>
            <w:tcBorders>
              <w:top w:val="single" w:color="000000" w:sz="4" w:space="0"/>
              <w:left w:val="single" w:color="000000" w:sz="4" w:space="0"/>
              <w:bottom w:val="single" w:color="000000" w:sz="4" w:space="0"/>
              <w:right w:val="single" w:color="000000" w:sz="4" w:space="0"/>
            </w:tcBorders>
            <w:noWrap w:val="0"/>
            <w:vAlign w:val="center"/>
          </w:tcPr>
          <w:p w14:paraId="0FCD8D4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得分</w:t>
            </w:r>
          </w:p>
        </w:tc>
      </w:tr>
      <w:tr w14:paraId="0C415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6" w:hRule="atLeast"/>
          <w:jc w:val="center"/>
        </w:trPr>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2EB7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（一）经营状况指标（3</w:t>
            </w: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5D57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我市近三年（</w:t>
            </w:r>
            <w:r>
              <w:rPr>
                <w:rFonts w:hint="default" w:ascii="Times New Roman" w:hAnsi="Times New Roman" w:eastAsia="宋体" w:cs="Times New Roman"/>
                <w:i w:val="0"/>
                <w:iCs w:val="0"/>
                <w:color w:val="000000"/>
                <w:kern w:val="0"/>
                <w:sz w:val="21"/>
                <w:szCs w:val="21"/>
                <w:u w:val="none"/>
                <w:lang w:val="en-US" w:eastAsia="zh-CN" w:bidi="ar"/>
              </w:rPr>
              <w:t>2022-2024</w:t>
            </w:r>
            <w:r>
              <w:rPr>
                <w:rFonts w:hint="eastAsia" w:ascii="宋体" w:hAnsi="宋体" w:eastAsia="宋体" w:cs="宋体"/>
                <w:i w:val="0"/>
                <w:iCs w:val="0"/>
                <w:color w:val="000000"/>
                <w:kern w:val="0"/>
                <w:sz w:val="21"/>
                <w:szCs w:val="21"/>
                <w:u w:val="none"/>
                <w:lang w:val="en-US" w:eastAsia="zh-CN" w:bidi="ar"/>
              </w:rPr>
              <w:t>）年资产总额（亿元）</w:t>
            </w:r>
          </w:p>
        </w:tc>
        <w:tc>
          <w:tcPr>
            <w:tcW w:w="701" w:type="dxa"/>
            <w:tcBorders>
              <w:top w:val="nil"/>
              <w:left w:val="single" w:color="000000" w:sz="4" w:space="0"/>
              <w:bottom w:val="single" w:color="000000" w:sz="4" w:space="0"/>
              <w:right w:val="single" w:color="000000" w:sz="4" w:space="0"/>
            </w:tcBorders>
            <w:shd w:val="clear" w:color="auto" w:fill="FFFFFF"/>
            <w:noWrap w:val="0"/>
            <w:vAlign w:val="center"/>
          </w:tcPr>
          <w:p w14:paraId="294404E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9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EFB22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1"/>
                <w:szCs w:val="21"/>
                <w:u w:val="none"/>
                <w:lang w:val="en-US" w:eastAsia="zh-CN" w:bidi="ar"/>
              </w:rPr>
              <w:t>以下得</w:t>
            </w:r>
            <w:r>
              <w:rPr>
                <w:rFonts w:hint="default" w:ascii="Times New Roman" w:hAnsi="Times New Roman" w:eastAsia="宋体" w:cs="Times New Roman"/>
                <w:i w:val="0"/>
                <w:iCs w:val="0"/>
                <w:color w:val="000000"/>
                <w:kern w:val="0"/>
                <w:sz w:val="21"/>
                <w:szCs w:val="21"/>
                <w:u w:val="none"/>
                <w:lang w:val="en-US" w:eastAsia="zh-CN" w:bidi="ar"/>
              </w:rPr>
              <w:t>0.5</w:t>
            </w:r>
            <w:r>
              <w:rPr>
                <w:rFonts w:hint="eastAsia" w:ascii="宋体" w:hAnsi="宋体" w:eastAsia="宋体" w:cs="宋体"/>
                <w:i w:val="0"/>
                <w:iCs w:val="0"/>
                <w:color w:val="000000"/>
                <w:kern w:val="0"/>
                <w:sz w:val="21"/>
                <w:szCs w:val="21"/>
                <w:u w:val="none"/>
                <w:lang w:val="en-US" w:eastAsia="zh-CN" w:bidi="ar"/>
              </w:rPr>
              <w:t>分</w:t>
            </w:r>
          </w:p>
          <w:p w14:paraId="58C623A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50-100</w:t>
            </w:r>
            <w:r>
              <w:rPr>
                <w:rFonts w:hint="eastAsia" w:ascii="宋体" w:hAnsi="宋体" w:eastAsia="宋体" w:cs="宋体"/>
                <w:i w:val="0"/>
                <w:iCs w:val="0"/>
                <w:color w:val="000000"/>
                <w:kern w:val="0"/>
                <w:sz w:val="21"/>
                <w:szCs w:val="21"/>
                <w:u w:val="none"/>
                <w:lang w:val="en-US" w:eastAsia="zh-CN" w:bidi="ar"/>
              </w:rPr>
              <w:t>得</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分</w:t>
            </w:r>
          </w:p>
          <w:p w14:paraId="4B248D6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100-300</w:t>
            </w:r>
            <w:r>
              <w:rPr>
                <w:rFonts w:hint="eastAsia" w:ascii="宋体" w:hAnsi="宋体" w:eastAsia="宋体" w:cs="宋体"/>
                <w:i w:val="0"/>
                <w:iCs w:val="0"/>
                <w:color w:val="000000"/>
                <w:kern w:val="0"/>
                <w:sz w:val="21"/>
                <w:szCs w:val="21"/>
                <w:u w:val="none"/>
                <w:lang w:val="en-US" w:eastAsia="zh-CN" w:bidi="ar"/>
              </w:rPr>
              <w:t>得</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分</w:t>
            </w:r>
          </w:p>
          <w:p w14:paraId="3C70637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300-500</w:t>
            </w:r>
            <w:r>
              <w:rPr>
                <w:rFonts w:hint="eastAsia" w:ascii="宋体" w:hAnsi="宋体" w:eastAsia="宋体" w:cs="宋体"/>
                <w:i w:val="0"/>
                <w:iCs w:val="0"/>
                <w:color w:val="000000"/>
                <w:kern w:val="0"/>
                <w:sz w:val="21"/>
                <w:szCs w:val="21"/>
                <w:u w:val="none"/>
                <w:lang w:val="en-US" w:eastAsia="zh-CN" w:bidi="ar"/>
              </w:rPr>
              <w:t>得</w:t>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分</w:t>
            </w:r>
          </w:p>
          <w:p w14:paraId="28F1490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w:t>
            </w:r>
            <w:r>
              <w:rPr>
                <w:rFonts w:hint="eastAsia" w:ascii="宋体" w:hAnsi="宋体" w:eastAsia="宋体" w:cs="宋体"/>
                <w:i w:val="0"/>
                <w:iCs w:val="0"/>
                <w:color w:val="000000"/>
                <w:kern w:val="0"/>
                <w:sz w:val="21"/>
                <w:szCs w:val="21"/>
                <w:u w:val="none"/>
                <w:lang w:val="en-US" w:eastAsia="zh-CN" w:bidi="ar"/>
              </w:rPr>
              <w:t>以上得</w:t>
            </w:r>
            <w:r>
              <w:rPr>
                <w:rFonts w:hint="default" w:ascii="Times New Roman" w:hAnsi="Times New Roman" w:eastAsia="宋体" w:cs="Times New Roman"/>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分</w:t>
            </w:r>
          </w:p>
        </w:tc>
        <w:tc>
          <w:tcPr>
            <w:tcW w:w="4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651D6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Style w:val="16"/>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每项数值上限数不含本数，如：</w:t>
            </w:r>
            <w:r>
              <w:rPr>
                <w:rFonts w:hint="default" w:ascii="Times New Roman" w:hAnsi="Times New Roman" w:eastAsia="宋体" w:cs="Times New Roman"/>
                <w:i w:val="0"/>
                <w:iCs w:val="0"/>
                <w:color w:val="000000"/>
                <w:kern w:val="0"/>
                <w:sz w:val="21"/>
                <w:szCs w:val="21"/>
                <w:u w:val="none"/>
                <w:lang w:val="en-US" w:eastAsia="zh-CN" w:bidi="ar"/>
              </w:rPr>
              <w:t>100-200</w:t>
            </w:r>
            <w:r>
              <w:rPr>
                <w:rStyle w:val="16"/>
                <w:sz w:val="21"/>
                <w:szCs w:val="21"/>
                <w:lang w:val="en-US" w:eastAsia="zh-CN" w:bidi="ar"/>
              </w:rPr>
              <w:t>，不含</w:t>
            </w:r>
            <w:r>
              <w:rPr>
                <w:rFonts w:hint="default" w:ascii="Times New Roman" w:hAnsi="Times New Roman" w:eastAsia="宋体" w:cs="Times New Roman"/>
                <w:i w:val="0"/>
                <w:iCs w:val="0"/>
                <w:color w:val="000000"/>
                <w:kern w:val="0"/>
                <w:sz w:val="21"/>
                <w:szCs w:val="21"/>
                <w:u w:val="none"/>
                <w:lang w:val="en-US" w:eastAsia="zh-CN" w:bidi="ar"/>
              </w:rPr>
              <w:t>200</w:t>
            </w:r>
            <w:r>
              <w:rPr>
                <w:rStyle w:val="16"/>
                <w:sz w:val="21"/>
                <w:szCs w:val="21"/>
                <w:lang w:val="en-US" w:eastAsia="zh-CN" w:bidi="ar"/>
              </w:rPr>
              <w:t>；</w:t>
            </w:r>
          </w:p>
          <w:p w14:paraId="5A987A8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500</w:t>
            </w:r>
            <w:r>
              <w:rPr>
                <w:rStyle w:val="16"/>
                <w:sz w:val="21"/>
                <w:szCs w:val="21"/>
                <w:lang w:val="en-US" w:eastAsia="zh-CN" w:bidi="ar"/>
              </w:rPr>
              <w:t>以上，含</w:t>
            </w:r>
            <w:r>
              <w:rPr>
                <w:rFonts w:hint="default" w:ascii="Times New Roman" w:hAnsi="Times New Roman" w:eastAsia="宋体" w:cs="Times New Roman"/>
                <w:i w:val="0"/>
                <w:iCs w:val="0"/>
                <w:color w:val="000000"/>
                <w:kern w:val="0"/>
                <w:sz w:val="21"/>
                <w:szCs w:val="21"/>
                <w:u w:val="none"/>
                <w:lang w:val="en-US" w:eastAsia="zh-CN" w:bidi="ar"/>
              </w:rPr>
              <w:t>500</w:t>
            </w:r>
          </w:p>
          <w:p w14:paraId="3DC76ACF">
            <w:pPr>
              <w:pStyle w:val="13"/>
              <w:rPr>
                <w:rFonts w:hint="default"/>
                <w:lang w:val="en-US"/>
              </w:rPr>
            </w:pPr>
            <w:r>
              <w:rPr>
                <w:rFonts w:hint="eastAsia" w:ascii="Times New Roman" w:cs="Times New Roman"/>
                <w:b/>
                <w:bCs/>
                <w:i w:val="0"/>
                <w:iCs w:val="0"/>
                <w:color w:val="000000"/>
                <w:kern w:val="0"/>
                <w:sz w:val="21"/>
                <w:szCs w:val="21"/>
                <w:u w:val="none"/>
                <w:lang w:val="en-US" w:eastAsia="zh-CN" w:bidi="ar"/>
              </w:rPr>
              <w:t>投标文件内提供相关证明资料，并注明数值</w:t>
            </w:r>
          </w:p>
        </w:tc>
        <w:tc>
          <w:tcPr>
            <w:tcW w:w="742" w:type="dxa"/>
            <w:tcBorders>
              <w:top w:val="single" w:color="000000" w:sz="4" w:space="0"/>
              <w:left w:val="single" w:color="000000" w:sz="4" w:space="0"/>
              <w:right w:val="single" w:color="000000" w:sz="4" w:space="0"/>
            </w:tcBorders>
            <w:noWrap w:val="0"/>
            <w:vAlign w:val="center"/>
          </w:tcPr>
          <w:p w14:paraId="1845BB7C">
            <w:pPr>
              <w:keepNext w:val="0"/>
              <w:keepLines w:val="0"/>
              <w:pageBreakBefore w:val="0"/>
              <w:widowControl/>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21"/>
                <w:szCs w:val="21"/>
                <w:u w:val="none"/>
              </w:rPr>
            </w:pPr>
          </w:p>
        </w:tc>
      </w:tr>
      <w:tr w14:paraId="7AC07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5"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9B169F">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1"/>
                <w:szCs w:val="21"/>
                <w:u w:val="none"/>
              </w:rPr>
            </w:pPr>
          </w:p>
        </w:tc>
        <w:tc>
          <w:tcPr>
            <w:tcW w:w="1909" w:type="dxa"/>
            <w:tcBorders>
              <w:top w:val="single" w:color="000000" w:sz="4" w:space="0"/>
              <w:left w:val="single" w:color="000000" w:sz="4" w:space="0"/>
              <w:right w:val="single" w:color="000000" w:sz="4" w:space="0"/>
            </w:tcBorders>
            <w:shd w:val="clear" w:color="auto" w:fill="auto"/>
            <w:noWrap w:val="0"/>
            <w:vAlign w:val="center"/>
          </w:tcPr>
          <w:p w14:paraId="6FAC74D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近三年（</w:t>
            </w:r>
            <w:r>
              <w:rPr>
                <w:rFonts w:hint="default" w:ascii="Times New Roman" w:hAnsi="Times New Roman" w:eastAsia="宋体" w:cs="Times New Roman"/>
                <w:i w:val="0"/>
                <w:iCs w:val="0"/>
                <w:color w:val="000000"/>
                <w:kern w:val="0"/>
                <w:sz w:val="21"/>
                <w:szCs w:val="21"/>
                <w:u w:val="none"/>
                <w:lang w:val="en-US" w:eastAsia="zh-CN" w:bidi="ar"/>
              </w:rPr>
              <w:t>2022-2024</w:t>
            </w:r>
            <w:r>
              <w:rPr>
                <w:rFonts w:hint="eastAsia" w:ascii="宋体" w:hAnsi="宋体" w:eastAsia="宋体" w:cs="宋体"/>
                <w:i w:val="0"/>
                <w:iCs w:val="0"/>
                <w:color w:val="000000"/>
                <w:kern w:val="0"/>
                <w:sz w:val="21"/>
                <w:szCs w:val="21"/>
                <w:u w:val="none"/>
                <w:lang w:val="en-US" w:eastAsia="zh-CN" w:bidi="ar"/>
              </w:rPr>
              <w:t>）年拨备前利润总额（亿元）</w:t>
            </w:r>
          </w:p>
        </w:tc>
        <w:tc>
          <w:tcPr>
            <w:tcW w:w="701" w:type="dxa"/>
            <w:tcBorders>
              <w:top w:val="nil"/>
              <w:left w:val="single" w:color="000000" w:sz="4" w:space="0"/>
              <w:right w:val="single" w:color="000000" w:sz="4" w:space="0"/>
            </w:tcBorders>
            <w:shd w:val="clear" w:color="auto" w:fill="auto"/>
            <w:noWrap w:val="0"/>
            <w:vAlign w:val="center"/>
          </w:tcPr>
          <w:p w14:paraId="1B7E26F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955" w:type="dxa"/>
            <w:tcBorders>
              <w:top w:val="single" w:color="000000" w:sz="4" w:space="0"/>
              <w:left w:val="single" w:color="000000" w:sz="4" w:space="0"/>
              <w:right w:val="single" w:color="000000" w:sz="4" w:space="0"/>
            </w:tcBorders>
            <w:shd w:val="clear" w:color="auto" w:fill="FFFFFF"/>
            <w:noWrap w:val="0"/>
            <w:vAlign w:val="center"/>
          </w:tcPr>
          <w:p w14:paraId="622EDEF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以下得</w:t>
            </w:r>
            <w:r>
              <w:rPr>
                <w:rFonts w:hint="default" w:ascii="Times New Roman" w:hAnsi="Times New Roman" w:eastAsia="宋体" w:cs="Times New Roman"/>
                <w:i w:val="0"/>
                <w:iCs w:val="0"/>
                <w:color w:val="000000"/>
                <w:kern w:val="0"/>
                <w:sz w:val="21"/>
                <w:szCs w:val="21"/>
                <w:u w:val="none"/>
                <w:lang w:val="en-US" w:eastAsia="zh-CN" w:bidi="ar"/>
              </w:rPr>
              <w:t>0.25</w:t>
            </w:r>
            <w:r>
              <w:rPr>
                <w:rFonts w:hint="eastAsia" w:ascii="宋体" w:hAnsi="宋体" w:eastAsia="宋体" w:cs="宋体"/>
                <w:i w:val="0"/>
                <w:iCs w:val="0"/>
                <w:color w:val="000000"/>
                <w:kern w:val="0"/>
                <w:sz w:val="21"/>
                <w:szCs w:val="21"/>
                <w:u w:val="none"/>
                <w:lang w:val="en-US" w:eastAsia="zh-CN" w:bidi="ar"/>
              </w:rPr>
              <w:t>分，负数不得分。</w:t>
            </w:r>
          </w:p>
          <w:p w14:paraId="46BB4DA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得</w:t>
            </w:r>
            <w:r>
              <w:rPr>
                <w:rFonts w:hint="default" w:ascii="Times New Roman" w:hAnsi="Times New Roman" w:eastAsia="宋体" w:cs="Times New Roman"/>
                <w:i w:val="0"/>
                <w:iCs w:val="0"/>
                <w:color w:val="000000"/>
                <w:kern w:val="0"/>
                <w:sz w:val="21"/>
                <w:szCs w:val="21"/>
                <w:u w:val="none"/>
                <w:lang w:val="en-US" w:eastAsia="zh-CN" w:bidi="ar"/>
              </w:rPr>
              <w:t>0.5</w:t>
            </w:r>
            <w:r>
              <w:rPr>
                <w:rFonts w:hint="eastAsia" w:ascii="宋体" w:hAnsi="宋体" w:eastAsia="宋体" w:cs="宋体"/>
                <w:i w:val="0"/>
                <w:iCs w:val="0"/>
                <w:color w:val="000000"/>
                <w:kern w:val="0"/>
                <w:sz w:val="21"/>
                <w:szCs w:val="21"/>
                <w:u w:val="none"/>
                <w:lang w:val="en-US" w:eastAsia="zh-CN" w:bidi="ar"/>
              </w:rPr>
              <w:t>分</w:t>
            </w:r>
          </w:p>
          <w:p w14:paraId="6BA7022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r>
              <w:rPr>
                <w:rFonts w:hint="eastAsia" w:ascii="宋体" w:hAnsi="宋体" w:eastAsia="宋体" w:cs="宋体"/>
                <w:i w:val="0"/>
                <w:iCs w:val="0"/>
                <w:color w:val="000000"/>
                <w:kern w:val="0"/>
                <w:sz w:val="21"/>
                <w:szCs w:val="21"/>
                <w:u w:val="none"/>
                <w:lang w:val="en-US" w:eastAsia="zh-CN" w:bidi="ar"/>
              </w:rPr>
              <w:t>得</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分</w:t>
            </w:r>
          </w:p>
          <w:p w14:paraId="3EA6C69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r>
              <w:rPr>
                <w:rFonts w:hint="eastAsia" w:ascii="宋体" w:hAnsi="宋体" w:eastAsia="宋体" w:cs="宋体"/>
                <w:i w:val="0"/>
                <w:iCs w:val="0"/>
                <w:color w:val="000000"/>
                <w:kern w:val="0"/>
                <w:sz w:val="21"/>
                <w:szCs w:val="21"/>
                <w:u w:val="none"/>
                <w:lang w:val="en-US" w:eastAsia="zh-CN" w:bidi="ar"/>
              </w:rPr>
              <w:t>得</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分</w:t>
            </w:r>
          </w:p>
          <w:p w14:paraId="3697F1C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w:t>
            </w:r>
            <w:r>
              <w:rPr>
                <w:rFonts w:hint="eastAsia" w:ascii="宋体" w:hAnsi="宋体" w:eastAsia="宋体" w:cs="宋体"/>
                <w:i w:val="0"/>
                <w:iCs w:val="0"/>
                <w:color w:val="000000"/>
                <w:kern w:val="0"/>
                <w:sz w:val="21"/>
                <w:szCs w:val="21"/>
                <w:u w:val="none"/>
                <w:lang w:val="en-US" w:eastAsia="zh-CN" w:bidi="ar"/>
              </w:rPr>
              <w:t>得</w:t>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分</w:t>
            </w:r>
          </w:p>
          <w:p w14:paraId="1AA2E53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以上得</w:t>
            </w:r>
            <w:r>
              <w:rPr>
                <w:rFonts w:hint="default" w:ascii="Times New Roman" w:hAnsi="Times New Roman" w:eastAsia="宋体" w:cs="Times New Roman"/>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分</w:t>
            </w:r>
          </w:p>
        </w:tc>
        <w:tc>
          <w:tcPr>
            <w:tcW w:w="4125" w:type="dxa"/>
            <w:tcBorders>
              <w:top w:val="single" w:color="000000" w:sz="4" w:space="0"/>
              <w:left w:val="single" w:color="000000" w:sz="4" w:space="0"/>
              <w:right w:val="single" w:color="000000" w:sz="4" w:space="0"/>
            </w:tcBorders>
            <w:shd w:val="clear" w:color="auto" w:fill="FFFFFF"/>
            <w:noWrap w:val="0"/>
            <w:vAlign w:val="center"/>
          </w:tcPr>
          <w:p w14:paraId="6BC90CB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每项数值上限数不含本数，如：</w:t>
            </w:r>
            <w:r>
              <w:rPr>
                <w:rFonts w:hint="default" w:ascii="Times New Roman" w:hAnsi="Times New Roman" w:eastAsia="宋体" w:cs="Times New Roman"/>
                <w:i w:val="0"/>
                <w:iCs w:val="0"/>
                <w:color w:val="000000"/>
                <w:kern w:val="0"/>
                <w:sz w:val="21"/>
                <w:szCs w:val="21"/>
                <w:u w:val="none"/>
                <w:lang w:val="en-US" w:eastAsia="zh-CN" w:bidi="ar"/>
              </w:rPr>
              <w:t>1-2</w:t>
            </w:r>
            <w:r>
              <w:rPr>
                <w:rStyle w:val="16"/>
                <w:sz w:val="21"/>
                <w:szCs w:val="21"/>
                <w:lang w:val="en-US" w:eastAsia="zh-CN" w:bidi="ar"/>
              </w:rPr>
              <w:t>，不含</w:t>
            </w:r>
            <w:r>
              <w:rPr>
                <w:rFonts w:hint="default" w:ascii="Times New Roman" w:hAnsi="Times New Roman" w:eastAsia="宋体" w:cs="Times New Roman"/>
                <w:i w:val="0"/>
                <w:iCs w:val="0"/>
                <w:color w:val="000000"/>
                <w:kern w:val="0"/>
                <w:sz w:val="21"/>
                <w:szCs w:val="21"/>
                <w:u w:val="none"/>
                <w:lang w:val="en-US" w:eastAsia="zh-CN" w:bidi="ar"/>
              </w:rPr>
              <w:t>2</w:t>
            </w:r>
            <w:r>
              <w:rPr>
                <w:rStyle w:val="16"/>
                <w:sz w:val="21"/>
                <w:szCs w:val="21"/>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5</w:t>
            </w:r>
            <w:r>
              <w:rPr>
                <w:rStyle w:val="16"/>
                <w:sz w:val="21"/>
                <w:szCs w:val="21"/>
                <w:lang w:val="en-US" w:eastAsia="zh-CN" w:bidi="ar"/>
              </w:rPr>
              <w:t>以上，含</w:t>
            </w:r>
            <w:r>
              <w:rPr>
                <w:rFonts w:hint="default" w:ascii="Times New Roman" w:hAnsi="Times New Roman" w:eastAsia="宋体" w:cs="Times New Roman"/>
                <w:i w:val="0"/>
                <w:iCs w:val="0"/>
                <w:color w:val="000000"/>
                <w:kern w:val="0"/>
                <w:sz w:val="21"/>
                <w:szCs w:val="21"/>
                <w:u w:val="none"/>
                <w:lang w:val="en-US" w:eastAsia="zh-CN" w:bidi="ar"/>
              </w:rPr>
              <w:t>5</w:t>
            </w:r>
          </w:p>
          <w:p w14:paraId="2740F68A">
            <w:pPr>
              <w:pStyle w:val="13"/>
              <w:rPr>
                <w:rFonts w:hint="eastAsia"/>
              </w:rPr>
            </w:pPr>
            <w:r>
              <w:rPr>
                <w:rFonts w:hint="eastAsia" w:ascii="Times New Roman" w:cs="Times New Roman"/>
                <w:b/>
                <w:bCs/>
                <w:i w:val="0"/>
                <w:iCs w:val="0"/>
                <w:color w:val="000000"/>
                <w:kern w:val="0"/>
                <w:sz w:val="21"/>
                <w:szCs w:val="21"/>
                <w:u w:val="none"/>
                <w:lang w:val="en-US" w:eastAsia="zh-CN" w:bidi="ar"/>
              </w:rPr>
              <w:t>投标文件内提供相关证明资料，并注明数值</w:t>
            </w:r>
          </w:p>
        </w:tc>
        <w:tc>
          <w:tcPr>
            <w:tcW w:w="742" w:type="dxa"/>
            <w:tcBorders>
              <w:top w:val="single" w:color="000000" w:sz="4" w:space="0"/>
              <w:left w:val="single" w:color="000000" w:sz="4" w:space="0"/>
              <w:right w:val="single" w:color="000000" w:sz="4" w:space="0"/>
            </w:tcBorders>
            <w:noWrap w:val="0"/>
            <w:vAlign w:val="center"/>
          </w:tcPr>
          <w:p w14:paraId="17093EC3">
            <w:pPr>
              <w:keepNext w:val="0"/>
              <w:keepLines w:val="0"/>
              <w:pageBreakBefore w:val="0"/>
              <w:widowControl/>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21"/>
                <w:szCs w:val="21"/>
                <w:u w:val="none"/>
              </w:rPr>
            </w:pPr>
          </w:p>
        </w:tc>
      </w:tr>
      <w:tr w14:paraId="615A6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A00452">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1"/>
                <w:szCs w:val="21"/>
                <w:u w:val="none"/>
              </w:rPr>
            </w:pPr>
          </w:p>
        </w:tc>
        <w:tc>
          <w:tcPr>
            <w:tcW w:w="1909" w:type="dxa"/>
            <w:tcBorders>
              <w:top w:val="single" w:color="000000" w:sz="4" w:space="0"/>
              <w:left w:val="single" w:color="000000" w:sz="4" w:space="0"/>
              <w:bottom w:val="nil"/>
              <w:right w:val="single" w:color="000000" w:sz="4" w:space="0"/>
            </w:tcBorders>
            <w:noWrap w:val="0"/>
            <w:vAlign w:val="center"/>
          </w:tcPr>
          <w:p w14:paraId="5EAB5AA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近三年（</w:t>
            </w:r>
            <w:r>
              <w:rPr>
                <w:rFonts w:hint="default" w:ascii="Times New Roman" w:hAnsi="Times New Roman" w:eastAsia="宋体" w:cs="Times New Roman"/>
                <w:i w:val="0"/>
                <w:iCs w:val="0"/>
                <w:color w:val="000000"/>
                <w:kern w:val="0"/>
                <w:sz w:val="21"/>
                <w:szCs w:val="21"/>
                <w:u w:val="none"/>
                <w:lang w:val="en-US" w:eastAsia="zh-CN" w:bidi="ar"/>
              </w:rPr>
              <w:t>2022-2024</w:t>
            </w:r>
            <w:r>
              <w:rPr>
                <w:rFonts w:hint="eastAsia" w:ascii="宋体" w:hAnsi="宋体" w:eastAsia="宋体" w:cs="宋体"/>
                <w:i w:val="0"/>
                <w:iCs w:val="0"/>
                <w:color w:val="000000"/>
                <w:kern w:val="0"/>
                <w:sz w:val="21"/>
                <w:szCs w:val="21"/>
                <w:u w:val="none"/>
                <w:lang w:val="en-US" w:eastAsia="zh-CN" w:bidi="ar"/>
              </w:rPr>
              <w:t>）年不良贷款率平均值（亿元）</w:t>
            </w:r>
          </w:p>
        </w:tc>
        <w:tc>
          <w:tcPr>
            <w:tcW w:w="701" w:type="dxa"/>
            <w:tcBorders>
              <w:top w:val="single" w:color="000000" w:sz="4" w:space="0"/>
              <w:left w:val="single" w:color="000000" w:sz="4" w:space="0"/>
              <w:bottom w:val="nil"/>
              <w:right w:val="single" w:color="000000" w:sz="4" w:space="0"/>
            </w:tcBorders>
            <w:noWrap w:val="0"/>
            <w:vAlign w:val="center"/>
          </w:tcPr>
          <w:p w14:paraId="1306A4A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5604DF6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小于</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得</w:t>
            </w:r>
            <w:r>
              <w:rPr>
                <w:rFonts w:hint="default" w:ascii="Times New Roman" w:hAnsi="Times New Roman" w:eastAsia="宋体" w:cs="Times New Roman"/>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分</w:t>
            </w:r>
          </w:p>
          <w:p w14:paraId="6566D36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2-3得3分</w:t>
            </w:r>
          </w:p>
          <w:p w14:paraId="4B608E5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3-4得2分</w:t>
            </w:r>
          </w:p>
          <w:p w14:paraId="7C66E93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4-5得1分</w:t>
            </w:r>
          </w:p>
          <w:p w14:paraId="608D524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5以上不得分</w:t>
            </w:r>
          </w:p>
        </w:tc>
        <w:tc>
          <w:tcPr>
            <w:tcW w:w="4125" w:type="dxa"/>
            <w:tcBorders>
              <w:top w:val="single" w:color="000000" w:sz="4" w:space="0"/>
              <w:left w:val="single" w:color="000000" w:sz="4" w:space="0"/>
              <w:bottom w:val="nil"/>
              <w:right w:val="single" w:color="000000" w:sz="4" w:space="0"/>
            </w:tcBorders>
            <w:noWrap w:val="0"/>
            <w:vAlign w:val="center"/>
          </w:tcPr>
          <w:p w14:paraId="1761528A">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jc w:val="both"/>
              <w:textAlignment w:val="center"/>
              <w:rPr>
                <w:rStyle w:val="16"/>
                <w:sz w:val="21"/>
                <w:szCs w:val="21"/>
                <w:lang w:val="en-US" w:eastAsia="zh-CN" w:bidi="ar"/>
              </w:rPr>
            </w:pPr>
            <w:r>
              <w:rPr>
                <w:rStyle w:val="16"/>
                <w:sz w:val="21"/>
                <w:szCs w:val="21"/>
                <w:lang w:val="en-US" w:eastAsia="zh-CN" w:bidi="ar"/>
              </w:rPr>
              <w:t>不良贷款率：是指银行不良贷款占总贷款余额的比率，是评价银行信贷资产安全状况的重要指标之一。</w:t>
            </w:r>
          </w:p>
          <w:p w14:paraId="48C1F1DF">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0" w:leftChars="0" w:firstLine="0" w:firstLineChars="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Style w:val="16"/>
                <w:sz w:val="21"/>
                <w:szCs w:val="21"/>
                <w:lang w:val="en-US" w:eastAsia="zh-CN" w:bidi="ar"/>
              </w:rPr>
              <w:t>《商业银行风险监管核心指标》第九条：不良贷款率不应高于</w:t>
            </w:r>
            <w:r>
              <w:rPr>
                <w:rFonts w:hint="default" w:ascii="Times New Roman" w:hAnsi="Times New Roman" w:eastAsia="宋体" w:cs="Times New Roman"/>
                <w:i w:val="0"/>
                <w:iCs w:val="0"/>
                <w:color w:val="000000"/>
                <w:kern w:val="0"/>
                <w:sz w:val="21"/>
                <w:szCs w:val="21"/>
                <w:u w:val="none"/>
                <w:lang w:val="en-US" w:eastAsia="zh-CN" w:bidi="ar"/>
              </w:rPr>
              <w:t>5%</w:t>
            </w:r>
          </w:p>
          <w:p w14:paraId="06D4C0AB">
            <w:pPr>
              <w:pStyle w:val="13"/>
              <w:numPr>
                <w:ilvl w:val="0"/>
                <w:numId w:val="0"/>
              </w:numPr>
              <w:ind w:leftChars="0"/>
              <w:rPr>
                <w:rFonts w:hint="default"/>
              </w:rPr>
            </w:pPr>
            <w:r>
              <w:rPr>
                <w:rFonts w:hint="eastAsia" w:ascii="Times New Roman" w:cs="Times New Roman"/>
                <w:b/>
                <w:bCs/>
                <w:i w:val="0"/>
                <w:iCs w:val="0"/>
                <w:color w:val="000000"/>
                <w:kern w:val="0"/>
                <w:sz w:val="21"/>
                <w:szCs w:val="21"/>
                <w:u w:val="none"/>
                <w:lang w:val="en-US" w:eastAsia="zh-CN" w:bidi="ar"/>
              </w:rPr>
              <w:t>投标文件内提供相关证明资料，并注明数值</w:t>
            </w:r>
          </w:p>
        </w:tc>
        <w:tc>
          <w:tcPr>
            <w:tcW w:w="742" w:type="dxa"/>
            <w:tcBorders>
              <w:top w:val="single" w:color="000000" w:sz="4" w:space="0"/>
              <w:left w:val="single" w:color="000000" w:sz="4" w:space="0"/>
              <w:right w:val="single" w:color="000000" w:sz="4" w:space="0"/>
            </w:tcBorders>
            <w:noWrap w:val="0"/>
            <w:vAlign w:val="center"/>
          </w:tcPr>
          <w:p w14:paraId="1E4A501C">
            <w:pPr>
              <w:keepNext w:val="0"/>
              <w:keepLines w:val="0"/>
              <w:pageBreakBefore w:val="0"/>
              <w:widowControl/>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21"/>
                <w:szCs w:val="21"/>
                <w:u w:val="none"/>
              </w:rPr>
            </w:pPr>
          </w:p>
        </w:tc>
      </w:tr>
      <w:tr w14:paraId="353DF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1"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12207D">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1"/>
                <w:szCs w:val="21"/>
                <w:u w:val="none"/>
              </w:rPr>
            </w:pPr>
          </w:p>
        </w:tc>
        <w:tc>
          <w:tcPr>
            <w:tcW w:w="1909" w:type="dxa"/>
            <w:tcBorders>
              <w:top w:val="single" w:color="000000" w:sz="4" w:space="0"/>
              <w:left w:val="single" w:color="000000" w:sz="4" w:space="0"/>
              <w:bottom w:val="nil"/>
              <w:right w:val="single" w:color="000000" w:sz="4" w:space="0"/>
            </w:tcBorders>
            <w:noWrap w:val="0"/>
            <w:vAlign w:val="center"/>
          </w:tcPr>
          <w:p w14:paraId="66E02AE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近三年（</w:t>
            </w:r>
            <w:r>
              <w:rPr>
                <w:rFonts w:hint="default" w:ascii="Times New Roman" w:hAnsi="Times New Roman" w:eastAsia="宋体" w:cs="Times New Roman"/>
                <w:i w:val="0"/>
                <w:iCs w:val="0"/>
                <w:color w:val="000000"/>
                <w:kern w:val="0"/>
                <w:sz w:val="21"/>
                <w:szCs w:val="21"/>
                <w:u w:val="none"/>
                <w:lang w:val="en-US" w:eastAsia="zh-CN" w:bidi="ar"/>
              </w:rPr>
              <w:t>2022-2024</w:t>
            </w:r>
            <w:r>
              <w:rPr>
                <w:rFonts w:hint="eastAsia" w:ascii="宋体" w:hAnsi="宋体" w:eastAsia="宋体" w:cs="宋体"/>
                <w:i w:val="0"/>
                <w:iCs w:val="0"/>
                <w:color w:val="000000"/>
                <w:kern w:val="0"/>
                <w:sz w:val="21"/>
                <w:szCs w:val="21"/>
                <w:u w:val="none"/>
                <w:lang w:val="en-US" w:eastAsia="zh-CN" w:bidi="ar"/>
              </w:rPr>
              <w:t>）年资本充足率平均值（亿元）</w:t>
            </w:r>
          </w:p>
        </w:tc>
        <w:tc>
          <w:tcPr>
            <w:tcW w:w="701" w:type="dxa"/>
            <w:tcBorders>
              <w:top w:val="single" w:color="000000" w:sz="4" w:space="0"/>
              <w:left w:val="single" w:color="000000" w:sz="4" w:space="0"/>
              <w:bottom w:val="nil"/>
              <w:right w:val="single" w:color="000000" w:sz="4" w:space="0"/>
            </w:tcBorders>
            <w:noWrap w:val="0"/>
            <w:vAlign w:val="center"/>
          </w:tcPr>
          <w:p w14:paraId="4B6BE40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955" w:type="dxa"/>
            <w:tcBorders>
              <w:top w:val="single" w:color="000000" w:sz="4" w:space="0"/>
              <w:left w:val="single" w:color="000000" w:sz="4" w:space="0"/>
              <w:right w:val="single" w:color="000000" w:sz="4" w:space="0"/>
            </w:tcBorders>
            <w:noWrap w:val="0"/>
            <w:vAlign w:val="center"/>
          </w:tcPr>
          <w:p w14:paraId="7FED6C8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以下不得分</w:t>
            </w:r>
          </w:p>
          <w:p w14:paraId="0382B62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8-9</w:t>
            </w:r>
            <w:r>
              <w:rPr>
                <w:rFonts w:hint="eastAsia" w:ascii="宋体" w:hAnsi="宋体" w:eastAsia="宋体" w:cs="宋体"/>
                <w:i w:val="0"/>
                <w:iCs w:val="0"/>
                <w:color w:val="000000"/>
                <w:kern w:val="0"/>
                <w:sz w:val="21"/>
                <w:szCs w:val="21"/>
                <w:u w:val="none"/>
                <w:lang w:val="en-US" w:eastAsia="zh-CN" w:bidi="ar"/>
              </w:rPr>
              <w:t>得</w:t>
            </w:r>
            <w:r>
              <w:rPr>
                <w:rFonts w:hint="default" w:ascii="Times New Roman" w:hAnsi="Times New Roman" w:eastAsia="宋体" w:cs="Times New Roman"/>
                <w:i w:val="0"/>
                <w:iCs w:val="0"/>
                <w:color w:val="000000"/>
                <w:kern w:val="0"/>
                <w:sz w:val="21"/>
                <w:szCs w:val="21"/>
                <w:u w:val="none"/>
                <w:lang w:val="en-US" w:eastAsia="zh-CN" w:bidi="ar"/>
              </w:rPr>
              <w:t>0.5</w:t>
            </w:r>
            <w:r>
              <w:rPr>
                <w:rFonts w:hint="eastAsia" w:ascii="宋体" w:hAnsi="宋体" w:eastAsia="宋体" w:cs="宋体"/>
                <w:i w:val="0"/>
                <w:iCs w:val="0"/>
                <w:color w:val="000000"/>
                <w:kern w:val="0"/>
                <w:sz w:val="21"/>
                <w:szCs w:val="21"/>
                <w:u w:val="none"/>
                <w:lang w:val="en-US" w:eastAsia="zh-CN" w:bidi="ar"/>
              </w:rPr>
              <w:t>分</w:t>
            </w:r>
          </w:p>
          <w:p w14:paraId="6D148DF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9-10</w:t>
            </w:r>
            <w:r>
              <w:rPr>
                <w:rFonts w:hint="eastAsia" w:ascii="宋体" w:hAnsi="宋体" w:eastAsia="宋体" w:cs="宋体"/>
                <w:i w:val="0"/>
                <w:iCs w:val="0"/>
                <w:color w:val="000000"/>
                <w:kern w:val="0"/>
                <w:sz w:val="21"/>
                <w:szCs w:val="21"/>
                <w:u w:val="none"/>
                <w:lang w:val="en-US" w:eastAsia="zh-CN" w:bidi="ar"/>
              </w:rPr>
              <w:t>得</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分</w:t>
            </w:r>
          </w:p>
          <w:p w14:paraId="611C660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10-11</w:t>
            </w:r>
            <w:r>
              <w:rPr>
                <w:rFonts w:hint="eastAsia" w:ascii="宋体" w:hAnsi="宋体" w:eastAsia="宋体" w:cs="宋体"/>
                <w:i w:val="0"/>
                <w:iCs w:val="0"/>
                <w:color w:val="000000"/>
                <w:kern w:val="0"/>
                <w:sz w:val="21"/>
                <w:szCs w:val="21"/>
                <w:u w:val="none"/>
                <w:lang w:val="en-US" w:eastAsia="zh-CN" w:bidi="ar"/>
              </w:rPr>
              <w:t>得</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分</w:t>
            </w:r>
          </w:p>
          <w:p w14:paraId="72BB0D8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11-12</w:t>
            </w:r>
            <w:r>
              <w:rPr>
                <w:rFonts w:hint="eastAsia" w:ascii="宋体" w:hAnsi="宋体" w:eastAsia="宋体" w:cs="宋体"/>
                <w:i w:val="0"/>
                <w:iCs w:val="0"/>
                <w:color w:val="000000"/>
                <w:kern w:val="0"/>
                <w:sz w:val="21"/>
                <w:szCs w:val="21"/>
                <w:u w:val="none"/>
                <w:lang w:val="en-US" w:eastAsia="zh-CN" w:bidi="ar"/>
              </w:rPr>
              <w:t>得</w:t>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分</w:t>
            </w:r>
          </w:p>
          <w:p w14:paraId="089ABB9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以上得</w:t>
            </w:r>
            <w:r>
              <w:rPr>
                <w:rFonts w:hint="default" w:ascii="Times New Roman" w:hAnsi="Times New Roman" w:eastAsia="宋体" w:cs="Times New Roman"/>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分</w:t>
            </w:r>
          </w:p>
        </w:tc>
        <w:tc>
          <w:tcPr>
            <w:tcW w:w="4125" w:type="dxa"/>
            <w:tcBorders>
              <w:top w:val="single" w:color="000000" w:sz="4" w:space="0"/>
              <w:left w:val="single" w:color="000000" w:sz="4" w:space="0"/>
              <w:bottom w:val="nil"/>
              <w:right w:val="single" w:color="000000" w:sz="4" w:space="0"/>
            </w:tcBorders>
            <w:noWrap w:val="0"/>
            <w:vAlign w:val="center"/>
          </w:tcPr>
          <w:p w14:paraId="2D2DD949">
            <w:pPr>
              <w:keepNext w:val="0"/>
              <w:keepLines w:val="0"/>
              <w:pageBreakBefore w:val="0"/>
              <w:widowControl/>
              <w:numPr>
                <w:ilvl w:val="0"/>
                <w:numId w:val="2"/>
              </w:numPr>
              <w:suppressLineNumbers w:val="0"/>
              <w:kinsoku/>
              <w:wordWrap/>
              <w:overflowPunct/>
              <w:topLinePunct w:val="0"/>
              <w:autoSpaceDE/>
              <w:autoSpaceDN/>
              <w:bidi w:val="0"/>
              <w:adjustRightInd/>
              <w:snapToGrid/>
              <w:spacing w:line="0" w:lineRule="atLeast"/>
              <w:jc w:val="both"/>
              <w:textAlignment w:val="center"/>
              <w:rPr>
                <w:rStyle w:val="16"/>
                <w:sz w:val="21"/>
                <w:szCs w:val="21"/>
                <w:lang w:val="en-US" w:eastAsia="zh-CN" w:bidi="ar"/>
              </w:rPr>
            </w:pPr>
            <w:r>
              <w:rPr>
                <w:rStyle w:val="16"/>
                <w:sz w:val="21"/>
                <w:szCs w:val="21"/>
                <w:lang w:val="en-US" w:eastAsia="zh-CN" w:bidi="ar"/>
              </w:rPr>
              <w:t>资本充足率：是指银行自身资本和加权风险资产的比率，代表了银行对负债的最后偿债能力。</w:t>
            </w:r>
          </w:p>
          <w:p w14:paraId="567431B4">
            <w:pPr>
              <w:keepNext w:val="0"/>
              <w:keepLines w:val="0"/>
              <w:pageBreakBefore w:val="0"/>
              <w:widowControl/>
              <w:numPr>
                <w:ilvl w:val="0"/>
                <w:numId w:val="2"/>
              </w:numPr>
              <w:suppressLineNumbers w:val="0"/>
              <w:kinsoku/>
              <w:wordWrap/>
              <w:overflowPunct/>
              <w:topLinePunct w:val="0"/>
              <w:autoSpaceDE/>
              <w:autoSpaceDN/>
              <w:bidi w:val="0"/>
              <w:adjustRightInd/>
              <w:snapToGrid/>
              <w:spacing w:line="0" w:lineRule="atLeast"/>
              <w:ind w:left="0" w:leftChars="0" w:firstLine="0" w:firstLineChars="0"/>
              <w:jc w:val="both"/>
              <w:textAlignment w:val="center"/>
              <w:rPr>
                <w:rStyle w:val="16"/>
                <w:sz w:val="21"/>
                <w:szCs w:val="21"/>
                <w:lang w:val="en-US" w:eastAsia="zh-CN" w:bidi="ar"/>
              </w:rPr>
            </w:pPr>
            <w:r>
              <w:rPr>
                <w:rStyle w:val="16"/>
                <w:sz w:val="21"/>
                <w:szCs w:val="21"/>
                <w:lang w:val="en-US" w:eastAsia="zh-CN" w:bidi="ar"/>
              </w:rPr>
              <w:t>《商业银行资本管理本法（试行）》（银监会令</w:t>
            </w:r>
            <w:r>
              <w:rPr>
                <w:rFonts w:hint="default" w:ascii="Times New Roman" w:hAnsi="Times New Roman" w:eastAsia="宋体" w:cs="Times New Roman"/>
                <w:i w:val="0"/>
                <w:iCs w:val="0"/>
                <w:color w:val="000000"/>
                <w:kern w:val="0"/>
                <w:sz w:val="21"/>
                <w:szCs w:val="21"/>
                <w:u w:val="none"/>
                <w:lang w:val="en-US" w:eastAsia="zh-CN" w:bidi="ar"/>
              </w:rPr>
              <w:t>2012</w:t>
            </w:r>
            <w:r>
              <w:rPr>
                <w:rStyle w:val="16"/>
                <w:sz w:val="21"/>
                <w:szCs w:val="21"/>
                <w:lang w:val="en-US" w:eastAsia="zh-CN" w:bidi="ar"/>
              </w:rPr>
              <w:t>年第</w:t>
            </w:r>
            <w:r>
              <w:rPr>
                <w:rFonts w:hint="default" w:ascii="Times New Roman" w:hAnsi="Times New Roman" w:eastAsia="宋体" w:cs="Times New Roman"/>
                <w:i w:val="0"/>
                <w:iCs w:val="0"/>
                <w:color w:val="000000"/>
                <w:kern w:val="0"/>
                <w:sz w:val="21"/>
                <w:szCs w:val="21"/>
                <w:u w:val="none"/>
                <w:lang w:val="en-US" w:eastAsia="zh-CN" w:bidi="ar"/>
              </w:rPr>
              <w:t>1</w:t>
            </w:r>
            <w:r>
              <w:rPr>
                <w:rStyle w:val="16"/>
                <w:sz w:val="21"/>
                <w:szCs w:val="21"/>
                <w:lang w:val="en-US" w:eastAsia="zh-CN" w:bidi="ar"/>
              </w:rPr>
              <w:t>号）第</w:t>
            </w:r>
            <w:r>
              <w:rPr>
                <w:rFonts w:hint="default" w:ascii="Times New Roman" w:hAnsi="Times New Roman" w:eastAsia="宋体" w:cs="Times New Roman"/>
                <w:i w:val="0"/>
                <w:iCs w:val="0"/>
                <w:color w:val="000000"/>
                <w:kern w:val="0"/>
                <w:sz w:val="21"/>
                <w:szCs w:val="21"/>
                <w:u w:val="none"/>
                <w:lang w:val="en-US" w:eastAsia="zh-CN" w:bidi="ar"/>
              </w:rPr>
              <w:t>23</w:t>
            </w:r>
            <w:r>
              <w:rPr>
                <w:rStyle w:val="16"/>
                <w:sz w:val="21"/>
                <w:szCs w:val="21"/>
                <w:lang w:val="en-US" w:eastAsia="zh-CN" w:bidi="ar"/>
              </w:rPr>
              <w:t>条：商业银行各级资本充足率不得低于如下最低要求：资本充足率不得低于</w:t>
            </w:r>
            <w:r>
              <w:rPr>
                <w:rFonts w:hint="default" w:ascii="Times New Roman" w:hAnsi="Times New Roman" w:eastAsia="宋体" w:cs="Times New Roman"/>
                <w:i w:val="0"/>
                <w:iCs w:val="0"/>
                <w:color w:val="000000"/>
                <w:kern w:val="0"/>
                <w:sz w:val="21"/>
                <w:szCs w:val="21"/>
                <w:u w:val="none"/>
                <w:lang w:val="en-US" w:eastAsia="zh-CN" w:bidi="ar"/>
              </w:rPr>
              <w:t>8%</w:t>
            </w:r>
            <w:r>
              <w:rPr>
                <w:rStyle w:val="16"/>
                <w:sz w:val="21"/>
                <w:szCs w:val="21"/>
                <w:lang w:val="en-US" w:eastAsia="zh-CN" w:bidi="ar"/>
              </w:rPr>
              <w:t>。</w:t>
            </w:r>
          </w:p>
          <w:p w14:paraId="7F6330D1">
            <w:pPr>
              <w:pStyle w:val="13"/>
              <w:numPr>
                <w:ilvl w:val="0"/>
                <w:numId w:val="0"/>
              </w:numPr>
              <w:ind w:leftChars="0"/>
              <w:rPr>
                <w:rFonts w:hint="default"/>
              </w:rPr>
            </w:pPr>
            <w:r>
              <w:rPr>
                <w:rFonts w:hint="eastAsia" w:ascii="Times New Roman" w:cs="Times New Roman"/>
                <w:b/>
                <w:bCs/>
                <w:i w:val="0"/>
                <w:iCs w:val="0"/>
                <w:color w:val="000000"/>
                <w:kern w:val="0"/>
                <w:sz w:val="21"/>
                <w:szCs w:val="21"/>
                <w:u w:val="none"/>
                <w:lang w:val="en-US" w:eastAsia="zh-CN" w:bidi="ar"/>
              </w:rPr>
              <w:t>投标文件内提供相关证明资料，并注明数值</w:t>
            </w:r>
          </w:p>
        </w:tc>
        <w:tc>
          <w:tcPr>
            <w:tcW w:w="742" w:type="dxa"/>
            <w:tcBorders>
              <w:top w:val="single" w:color="000000" w:sz="4" w:space="0"/>
              <w:left w:val="single" w:color="000000" w:sz="4" w:space="0"/>
              <w:bottom w:val="single" w:color="000000" w:sz="4" w:space="0"/>
              <w:right w:val="single" w:color="000000" w:sz="4" w:space="0"/>
            </w:tcBorders>
            <w:noWrap w:val="0"/>
            <w:vAlign w:val="center"/>
          </w:tcPr>
          <w:p w14:paraId="205A5F65">
            <w:pPr>
              <w:keepNext w:val="0"/>
              <w:keepLines w:val="0"/>
              <w:pageBreakBefore w:val="0"/>
              <w:widowControl/>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21"/>
                <w:szCs w:val="21"/>
                <w:u w:val="none"/>
              </w:rPr>
            </w:pPr>
          </w:p>
        </w:tc>
      </w:tr>
      <w:tr w14:paraId="09BD5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3"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F5CAD4">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1"/>
                <w:szCs w:val="21"/>
                <w:u w:val="none"/>
              </w:rPr>
            </w:pP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4C50335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近三年（</w:t>
            </w:r>
            <w:r>
              <w:rPr>
                <w:rFonts w:hint="default" w:ascii="Times New Roman" w:hAnsi="Times New Roman" w:eastAsia="宋体" w:cs="Times New Roman"/>
                <w:i w:val="0"/>
                <w:iCs w:val="0"/>
                <w:color w:val="000000"/>
                <w:kern w:val="0"/>
                <w:sz w:val="21"/>
                <w:szCs w:val="21"/>
                <w:u w:val="none"/>
                <w:lang w:val="en-US" w:eastAsia="zh-CN" w:bidi="ar"/>
              </w:rPr>
              <w:t>2022-2024</w:t>
            </w:r>
            <w:r>
              <w:rPr>
                <w:rFonts w:hint="eastAsia" w:ascii="宋体" w:hAnsi="宋体" w:eastAsia="宋体" w:cs="宋体"/>
                <w:i w:val="0"/>
                <w:iCs w:val="0"/>
                <w:color w:val="000000"/>
                <w:kern w:val="0"/>
                <w:sz w:val="21"/>
                <w:szCs w:val="21"/>
                <w:u w:val="none"/>
                <w:lang w:val="en-US" w:eastAsia="zh-CN" w:bidi="ar"/>
              </w:rPr>
              <w:t>）年拨备覆盖率（亿元）</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14:paraId="017CA58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5A09072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150</w:t>
            </w:r>
            <w:r>
              <w:rPr>
                <w:rFonts w:hint="eastAsia" w:ascii="宋体" w:hAnsi="宋体" w:eastAsia="宋体" w:cs="宋体"/>
                <w:i w:val="0"/>
                <w:iCs w:val="0"/>
                <w:color w:val="000000"/>
                <w:kern w:val="0"/>
                <w:sz w:val="21"/>
                <w:szCs w:val="21"/>
                <w:u w:val="none"/>
                <w:lang w:val="en-US" w:eastAsia="zh-CN" w:bidi="ar"/>
              </w:rPr>
              <w:t>以下不得分</w:t>
            </w:r>
          </w:p>
          <w:p w14:paraId="7443B83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w:t>
            </w:r>
            <w:r>
              <w:rPr>
                <w:rFonts w:hint="eastAsia" w:ascii="宋体" w:hAnsi="宋体" w:eastAsia="宋体" w:cs="宋体"/>
                <w:i w:val="0"/>
                <w:iCs w:val="0"/>
                <w:color w:val="000000"/>
                <w:kern w:val="0"/>
                <w:sz w:val="21"/>
                <w:szCs w:val="21"/>
                <w:u w:val="none"/>
                <w:lang w:val="en-US" w:eastAsia="zh-CN" w:bidi="ar"/>
              </w:rPr>
              <w:t>以上得</w:t>
            </w:r>
            <w:r>
              <w:rPr>
                <w:rFonts w:hint="default" w:ascii="Times New Roman" w:hAnsi="Times New Roman" w:eastAsia="宋体" w:cs="Times New Roman"/>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分</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547DD7E">
            <w:pPr>
              <w:keepNext w:val="0"/>
              <w:keepLines w:val="0"/>
              <w:pageBreakBefore w:val="0"/>
              <w:widowControl/>
              <w:numPr>
                <w:ilvl w:val="0"/>
                <w:numId w:val="3"/>
              </w:numPr>
              <w:suppressLineNumbers w:val="0"/>
              <w:kinsoku/>
              <w:wordWrap/>
              <w:overflowPunct/>
              <w:topLinePunct w:val="0"/>
              <w:autoSpaceDE/>
              <w:autoSpaceDN/>
              <w:bidi w:val="0"/>
              <w:adjustRightInd/>
              <w:snapToGrid/>
              <w:spacing w:line="0" w:lineRule="atLeast"/>
              <w:jc w:val="both"/>
              <w:textAlignment w:val="center"/>
              <w:rPr>
                <w:rStyle w:val="16"/>
                <w:sz w:val="21"/>
                <w:szCs w:val="21"/>
                <w:lang w:val="en-US" w:eastAsia="zh-CN" w:bidi="ar"/>
              </w:rPr>
            </w:pPr>
            <w:r>
              <w:rPr>
                <w:rStyle w:val="16"/>
                <w:sz w:val="21"/>
                <w:szCs w:val="21"/>
                <w:lang w:val="en-US" w:eastAsia="zh-CN" w:bidi="ar"/>
              </w:rPr>
              <w:t>拨备覆盖率：是指银行贷款可能发生的呆、坏账准备金的使用比率，是衡量银行贷款损失准备金计提是否充足的重要指标。</w:t>
            </w:r>
          </w:p>
          <w:p w14:paraId="306682D8">
            <w:pPr>
              <w:keepNext w:val="0"/>
              <w:keepLines w:val="0"/>
              <w:pageBreakBefore w:val="0"/>
              <w:widowControl/>
              <w:numPr>
                <w:ilvl w:val="0"/>
                <w:numId w:val="3"/>
              </w:numPr>
              <w:suppressLineNumbers w:val="0"/>
              <w:kinsoku/>
              <w:wordWrap/>
              <w:overflowPunct/>
              <w:topLinePunct w:val="0"/>
              <w:autoSpaceDE/>
              <w:autoSpaceDN/>
              <w:bidi w:val="0"/>
              <w:adjustRightInd/>
              <w:snapToGrid/>
              <w:spacing w:line="0" w:lineRule="atLeast"/>
              <w:ind w:left="0" w:leftChars="0" w:firstLine="0" w:firstLineChars="0"/>
              <w:jc w:val="both"/>
              <w:textAlignment w:val="center"/>
              <w:rPr>
                <w:rStyle w:val="16"/>
                <w:sz w:val="21"/>
                <w:szCs w:val="21"/>
                <w:lang w:val="en-US" w:eastAsia="zh-CN" w:bidi="ar"/>
              </w:rPr>
            </w:pPr>
            <w:r>
              <w:rPr>
                <w:rStyle w:val="16"/>
                <w:sz w:val="21"/>
                <w:szCs w:val="21"/>
                <w:lang w:val="en-US" w:eastAsia="zh-CN" w:bidi="ar"/>
              </w:rPr>
              <w:t>《商业银行贷款损失准备率 管理办法》（银监会令</w:t>
            </w:r>
            <w:r>
              <w:rPr>
                <w:rFonts w:hint="default" w:ascii="Times New Roman" w:hAnsi="Times New Roman" w:eastAsia="宋体" w:cs="Times New Roman"/>
                <w:i w:val="0"/>
                <w:iCs w:val="0"/>
                <w:color w:val="000000"/>
                <w:kern w:val="0"/>
                <w:sz w:val="21"/>
                <w:szCs w:val="21"/>
                <w:u w:val="none"/>
                <w:lang w:val="en-US" w:eastAsia="zh-CN" w:bidi="ar"/>
              </w:rPr>
              <w:t>2011</w:t>
            </w:r>
            <w:r>
              <w:rPr>
                <w:rStyle w:val="16"/>
                <w:sz w:val="21"/>
                <w:szCs w:val="21"/>
                <w:lang w:val="en-US" w:eastAsia="zh-CN" w:bidi="ar"/>
              </w:rPr>
              <w:t>年第</w:t>
            </w:r>
            <w:r>
              <w:rPr>
                <w:rFonts w:hint="default" w:ascii="Times New Roman" w:hAnsi="Times New Roman" w:eastAsia="宋体" w:cs="Times New Roman"/>
                <w:i w:val="0"/>
                <w:iCs w:val="0"/>
                <w:color w:val="000000"/>
                <w:kern w:val="0"/>
                <w:sz w:val="21"/>
                <w:szCs w:val="21"/>
                <w:u w:val="none"/>
                <w:lang w:val="en-US" w:eastAsia="zh-CN" w:bidi="ar"/>
              </w:rPr>
              <w:t>4</w:t>
            </w:r>
            <w:r>
              <w:rPr>
                <w:rStyle w:val="16"/>
                <w:sz w:val="21"/>
                <w:szCs w:val="21"/>
                <w:lang w:val="en-US" w:eastAsia="zh-CN" w:bidi="ar"/>
              </w:rPr>
              <w:t>号）第七条：拨备覆盖率基本覆盖率基本标准为</w:t>
            </w:r>
            <w:r>
              <w:rPr>
                <w:rFonts w:hint="default" w:ascii="Times New Roman" w:hAnsi="Times New Roman" w:eastAsia="宋体" w:cs="Times New Roman"/>
                <w:i w:val="0"/>
                <w:iCs w:val="0"/>
                <w:color w:val="000000"/>
                <w:kern w:val="0"/>
                <w:sz w:val="21"/>
                <w:szCs w:val="21"/>
                <w:u w:val="none"/>
                <w:lang w:val="en-US" w:eastAsia="zh-CN" w:bidi="ar"/>
              </w:rPr>
              <w:t>150%</w:t>
            </w:r>
            <w:r>
              <w:rPr>
                <w:rStyle w:val="16"/>
                <w:sz w:val="21"/>
                <w:szCs w:val="21"/>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3.</w:t>
            </w:r>
            <w:r>
              <w:rPr>
                <w:rStyle w:val="16"/>
                <w:sz w:val="21"/>
                <w:szCs w:val="21"/>
                <w:lang w:val="en-US" w:eastAsia="zh-CN" w:bidi="ar"/>
              </w:rPr>
              <w:t>三年中任意年度不达标不得分，三年均达标得分。</w:t>
            </w:r>
          </w:p>
          <w:p w14:paraId="138C437D">
            <w:pPr>
              <w:pStyle w:val="13"/>
              <w:numPr>
                <w:ilvl w:val="0"/>
                <w:numId w:val="0"/>
              </w:numPr>
              <w:ind w:leftChars="0"/>
              <w:rPr>
                <w:rFonts w:hint="default"/>
              </w:rPr>
            </w:pPr>
            <w:r>
              <w:rPr>
                <w:rFonts w:hint="eastAsia" w:ascii="Times New Roman" w:cs="Times New Roman"/>
                <w:b/>
                <w:bCs/>
                <w:i w:val="0"/>
                <w:iCs w:val="0"/>
                <w:color w:val="000000"/>
                <w:kern w:val="0"/>
                <w:sz w:val="21"/>
                <w:szCs w:val="21"/>
                <w:u w:val="none"/>
                <w:lang w:val="en-US" w:eastAsia="zh-CN" w:bidi="ar"/>
              </w:rPr>
              <w:t>投标文件内提供相关证明资料，并注明数值</w:t>
            </w:r>
          </w:p>
        </w:tc>
        <w:tc>
          <w:tcPr>
            <w:tcW w:w="742" w:type="dxa"/>
            <w:tcBorders>
              <w:top w:val="single" w:color="000000" w:sz="4" w:space="0"/>
              <w:left w:val="single" w:color="000000" w:sz="4" w:space="0"/>
              <w:bottom w:val="single" w:color="000000" w:sz="4" w:space="0"/>
              <w:right w:val="single" w:color="000000" w:sz="4" w:space="0"/>
            </w:tcBorders>
            <w:noWrap w:val="0"/>
            <w:vAlign w:val="center"/>
          </w:tcPr>
          <w:p w14:paraId="4657913F">
            <w:pPr>
              <w:keepNext w:val="0"/>
              <w:keepLines w:val="0"/>
              <w:pageBreakBefore w:val="0"/>
              <w:widowControl/>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21"/>
                <w:szCs w:val="21"/>
                <w:u w:val="none"/>
              </w:rPr>
            </w:pPr>
          </w:p>
        </w:tc>
      </w:tr>
      <w:tr w14:paraId="2750F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C4E879">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1"/>
                <w:szCs w:val="21"/>
                <w:u w:val="none"/>
              </w:rPr>
            </w:pP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661BF76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评分指标</w:t>
            </w:r>
          </w:p>
        </w:tc>
        <w:tc>
          <w:tcPr>
            <w:tcW w:w="701" w:type="dxa"/>
            <w:tcBorders>
              <w:top w:val="single" w:color="000000" w:sz="4" w:space="0"/>
              <w:left w:val="single" w:color="000000" w:sz="4" w:space="0"/>
              <w:bottom w:val="single" w:color="000000" w:sz="4" w:space="0"/>
              <w:right w:val="single" w:color="000000" w:sz="4" w:space="0"/>
            </w:tcBorders>
            <w:noWrap/>
            <w:vAlign w:val="center"/>
          </w:tcPr>
          <w:p w14:paraId="48F5D7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分值</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4510BE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评分细则</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4DCABD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备注</w:t>
            </w:r>
            <w:r>
              <w:rPr>
                <w:rFonts w:hint="eastAsia" w:ascii="宋体" w:hAnsi="宋体" w:cs="宋体"/>
                <w:b/>
                <w:bCs/>
                <w:i w:val="0"/>
                <w:iCs w:val="0"/>
                <w:color w:val="000000"/>
                <w:kern w:val="0"/>
                <w:sz w:val="21"/>
                <w:szCs w:val="21"/>
                <w:u w:val="none"/>
                <w:lang w:val="en-US" w:eastAsia="zh-CN" w:bidi="ar"/>
              </w:rPr>
              <w:t>说明</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A2FC1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得分</w:t>
            </w:r>
          </w:p>
        </w:tc>
      </w:tr>
      <w:tr w14:paraId="0E4AA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9" w:hRule="atLeast"/>
          <w:jc w:val="center"/>
        </w:trPr>
        <w:tc>
          <w:tcPr>
            <w:tcW w:w="767" w:type="dxa"/>
            <w:tcBorders>
              <w:top w:val="single" w:color="000000" w:sz="4" w:space="0"/>
              <w:left w:val="single" w:color="000000" w:sz="4" w:space="0"/>
              <w:bottom w:val="single" w:color="000000" w:sz="4" w:space="0"/>
              <w:right w:val="single" w:color="000000" w:sz="4" w:space="0"/>
            </w:tcBorders>
            <w:noWrap w:val="0"/>
            <w:vAlign w:val="center"/>
          </w:tcPr>
          <w:p w14:paraId="5B41DF57">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1"/>
                <w:szCs w:val="21"/>
                <w:u w:val="none"/>
              </w:rPr>
            </w:pP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2994CE6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近三年（</w:t>
            </w:r>
            <w:r>
              <w:rPr>
                <w:rFonts w:hint="default" w:ascii="Times New Roman" w:hAnsi="Times New Roman" w:eastAsia="宋体" w:cs="Times New Roman"/>
                <w:i w:val="0"/>
                <w:iCs w:val="0"/>
                <w:color w:val="000000"/>
                <w:kern w:val="0"/>
                <w:sz w:val="21"/>
                <w:szCs w:val="21"/>
                <w:u w:val="none"/>
                <w:lang w:val="en-US" w:eastAsia="zh-CN" w:bidi="ar"/>
              </w:rPr>
              <w:t>2022-2024</w:t>
            </w:r>
            <w:r>
              <w:rPr>
                <w:rFonts w:hint="eastAsia" w:ascii="宋体" w:hAnsi="宋体" w:eastAsia="宋体" w:cs="宋体"/>
                <w:i w:val="0"/>
                <w:iCs w:val="0"/>
                <w:color w:val="000000"/>
                <w:kern w:val="0"/>
                <w:sz w:val="21"/>
                <w:szCs w:val="21"/>
                <w:u w:val="none"/>
                <w:lang w:val="en-US" w:eastAsia="zh-CN" w:bidi="ar"/>
              </w:rPr>
              <w:t>）年人民币存款余额合计（亿元）</w:t>
            </w:r>
          </w:p>
        </w:tc>
        <w:tc>
          <w:tcPr>
            <w:tcW w:w="701" w:type="dxa"/>
            <w:tcBorders>
              <w:top w:val="single" w:color="000000" w:sz="4" w:space="0"/>
              <w:left w:val="single" w:color="000000" w:sz="4" w:space="0"/>
              <w:bottom w:val="single" w:color="auto" w:sz="4" w:space="0"/>
              <w:right w:val="single" w:color="000000" w:sz="4" w:space="0"/>
            </w:tcBorders>
            <w:noWrap/>
            <w:vAlign w:val="center"/>
          </w:tcPr>
          <w:p w14:paraId="6D08F4B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955" w:type="dxa"/>
            <w:tcBorders>
              <w:top w:val="single" w:color="000000" w:sz="4" w:space="0"/>
              <w:left w:val="single" w:color="000000" w:sz="4" w:space="0"/>
              <w:bottom w:val="single" w:color="auto" w:sz="4" w:space="0"/>
              <w:right w:val="single" w:color="000000" w:sz="4" w:space="0"/>
            </w:tcBorders>
            <w:noWrap/>
            <w:vAlign w:val="center"/>
          </w:tcPr>
          <w:p w14:paraId="220E024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以下得</w:t>
            </w:r>
            <w:r>
              <w:rPr>
                <w:rFonts w:hint="default" w:ascii="Times New Roman" w:hAnsi="Times New Roman" w:eastAsia="宋体" w:cs="Times New Roman"/>
                <w:i w:val="0"/>
                <w:iCs w:val="0"/>
                <w:color w:val="000000"/>
                <w:kern w:val="0"/>
                <w:sz w:val="21"/>
                <w:szCs w:val="21"/>
                <w:u w:val="none"/>
                <w:lang w:val="en-US" w:eastAsia="zh-CN" w:bidi="ar"/>
              </w:rPr>
              <w:t>0.5</w:t>
            </w:r>
            <w:r>
              <w:rPr>
                <w:rFonts w:hint="eastAsia" w:ascii="宋体" w:hAnsi="宋体" w:eastAsia="宋体" w:cs="宋体"/>
                <w:i w:val="0"/>
                <w:iCs w:val="0"/>
                <w:color w:val="000000"/>
                <w:kern w:val="0"/>
                <w:sz w:val="21"/>
                <w:szCs w:val="21"/>
                <w:u w:val="none"/>
                <w:lang w:val="en-US" w:eastAsia="zh-CN" w:bidi="ar"/>
              </w:rPr>
              <w:t>分</w:t>
            </w:r>
          </w:p>
          <w:p w14:paraId="20104F6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100-200</w:t>
            </w:r>
            <w:r>
              <w:rPr>
                <w:rFonts w:hint="eastAsia" w:ascii="宋体" w:hAnsi="宋体" w:eastAsia="宋体" w:cs="宋体"/>
                <w:i w:val="0"/>
                <w:iCs w:val="0"/>
                <w:color w:val="000000"/>
                <w:kern w:val="0"/>
                <w:sz w:val="21"/>
                <w:szCs w:val="21"/>
                <w:u w:val="none"/>
                <w:lang w:val="en-US" w:eastAsia="zh-CN" w:bidi="ar"/>
              </w:rPr>
              <w:t>得</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分</w:t>
            </w:r>
          </w:p>
          <w:p w14:paraId="4B20842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200-300</w:t>
            </w:r>
            <w:r>
              <w:rPr>
                <w:rFonts w:hint="eastAsia" w:ascii="宋体" w:hAnsi="宋体" w:eastAsia="宋体" w:cs="宋体"/>
                <w:i w:val="0"/>
                <w:iCs w:val="0"/>
                <w:color w:val="000000"/>
                <w:kern w:val="0"/>
                <w:sz w:val="21"/>
                <w:szCs w:val="21"/>
                <w:u w:val="none"/>
                <w:lang w:val="en-US" w:eastAsia="zh-CN" w:bidi="ar"/>
              </w:rPr>
              <w:t>得</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分</w:t>
            </w:r>
          </w:p>
          <w:p w14:paraId="6B1A295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300-400</w:t>
            </w:r>
            <w:r>
              <w:rPr>
                <w:rFonts w:hint="eastAsia" w:ascii="宋体" w:hAnsi="宋体" w:eastAsia="宋体" w:cs="宋体"/>
                <w:i w:val="0"/>
                <w:iCs w:val="0"/>
                <w:color w:val="000000"/>
                <w:kern w:val="0"/>
                <w:sz w:val="21"/>
                <w:szCs w:val="21"/>
                <w:u w:val="none"/>
                <w:lang w:val="en-US" w:eastAsia="zh-CN" w:bidi="ar"/>
              </w:rPr>
              <w:t>得</w:t>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分</w:t>
            </w:r>
          </w:p>
          <w:p w14:paraId="5088402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400-500</w:t>
            </w:r>
            <w:r>
              <w:rPr>
                <w:rFonts w:hint="eastAsia" w:ascii="宋体" w:hAnsi="宋体" w:eastAsia="宋体" w:cs="宋体"/>
                <w:i w:val="0"/>
                <w:iCs w:val="0"/>
                <w:color w:val="000000"/>
                <w:kern w:val="0"/>
                <w:sz w:val="21"/>
                <w:szCs w:val="21"/>
                <w:u w:val="none"/>
                <w:lang w:val="en-US" w:eastAsia="zh-CN" w:bidi="ar"/>
              </w:rPr>
              <w:t>得</w:t>
            </w:r>
            <w:r>
              <w:rPr>
                <w:rFonts w:hint="default" w:ascii="Times New Roman" w:hAnsi="Times New Roman" w:eastAsia="宋体" w:cs="Times New Roman"/>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分</w:t>
            </w:r>
          </w:p>
          <w:p w14:paraId="4078599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500</w:t>
            </w:r>
            <w:r>
              <w:rPr>
                <w:rFonts w:hint="eastAsia" w:ascii="宋体" w:hAnsi="宋体" w:eastAsia="宋体" w:cs="宋体"/>
                <w:i w:val="0"/>
                <w:iCs w:val="0"/>
                <w:color w:val="000000"/>
                <w:kern w:val="0"/>
                <w:sz w:val="21"/>
                <w:szCs w:val="21"/>
                <w:u w:val="none"/>
                <w:lang w:val="en-US" w:eastAsia="zh-CN" w:bidi="ar"/>
              </w:rPr>
              <w:t>以上得</w:t>
            </w:r>
            <w:r>
              <w:rPr>
                <w:rFonts w:hint="default" w:ascii="Times New Roman" w:hAnsi="Times New Roman" w:eastAsia="宋体" w:cs="Times New Roman"/>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分</w:t>
            </w:r>
          </w:p>
        </w:tc>
        <w:tc>
          <w:tcPr>
            <w:tcW w:w="4125" w:type="dxa"/>
            <w:tcBorders>
              <w:top w:val="single" w:color="000000" w:sz="4" w:space="0"/>
              <w:left w:val="single" w:color="000000" w:sz="4" w:space="0"/>
              <w:bottom w:val="single" w:color="auto" w:sz="4" w:space="0"/>
              <w:right w:val="single" w:color="000000" w:sz="4" w:space="0"/>
            </w:tcBorders>
            <w:noWrap w:val="0"/>
            <w:vAlign w:val="center"/>
          </w:tcPr>
          <w:p w14:paraId="10854EA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Style w:val="16"/>
                <w:sz w:val="21"/>
                <w:szCs w:val="21"/>
                <w:lang w:val="en-US" w:eastAsia="zh-CN" w:bidi="ar"/>
              </w:rPr>
              <w:t>每项数值上限数不含本数，如：</w:t>
            </w:r>
            <w:r>
              <w:rPr>
                <w:rFonts w:hint="default" w:ascii="Times New Roman" w:hAnsi="Times New Roman" w:eastAsia="宋体" w:cs="Times New Roman"/>
                <w:i w:val="0"/>
                <w:iCs w:val="0"/>
                <w:color w:val="000000"/>
                <w:kern w:val="0"/>
                <w:sz w:val="21"/>
                <w:szCs w:val="21"/>
                <w:u w:val="none"/>
                <w:lang w:val="en-US" w:eastAsia="zh-CN" w:bidi="ar"/>
              </w:rPr>
              <w:t>100-200</w:t>
            </w:r>
            <w:r>
              <w:rPr>
                <w:rStyle w:val="16"/>
                <w:sz w:val="21"/>
                <w:szCs w:val="21"/>
                <w:lang w:val="en-US" w:eastAsia="zh-CN" w:bidi="ar"/>
              </w:rPr>
              <w:t>，不含</w:t>
            </w:r>
            <w:r>
              <w:rPr>
                <w:rFonts w:hint="default" w:ascii="Times New Roman" w:hAnsi="Times New Roman" w:eastAsia="宋体" w:cs="Times New Roman"/>
                <w:i w:val="0"/>
                <w:iCs w:val="0"/>
                <w:color w:val="000000"/>
                <w:kern w:val="0"/>
                <w:sz w:val="21"/>
                <w:szCs w:val="21"/>
                <w:u w:val="none"/>
                <w:lang w:val="en-US" w:eastAsia="zh-CN" w:bidi="ar"/>
              </w:rPr>
              <w:t>200</w:t>
            </w:r>
            <w:r>
              <w:rPr>
                <w:rStyle w:val="16"/>
                <w:sz w:val="21"/>
                <w:szCs w:val="21"/>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500</w:t>
            </w:r>
            <w:r>
              <w:rPr>
                <w:rStyle w:val="16"/>
                <w:sz w:val="21"/>
                <w:szCs w:val="21"/>
                <w:lang w:val="en-US" w:eastAsia="zh-CN" w:bidi="ar"/>
              </w:rPr>
              <w:t>以上，含</w:t>
            </w:r>
            <w:r>
              <w:rPr>
                <w:rFonts w:hint="default" w:ascii="Times New Roman" w:hAnsi="Times New Roman" w:eastAsia="宋体" w:cs="Times New Roman"/>
                <w:i w:val="0"/>
                <w:iCs w:val="0"/>
                <w:color w:val="000000"/>
                <w:kern w:val="0"/>
                <w:sz w:val="21"/>
                <w:szCs w:val="21"/>
                <w:u w:val="none"/>
                <w:lang w:val="en-US" w:eastAsia="zh-CN" w:bidi="ar"/>
              </w:rPr>
              <w:t>500</w:t>
            </w:r>
          </w:p>
          <w:p w14:paraId="2008B5C1">
            <w:pPr>
              <w:pStyle w:val="13"/>
              <w:rPr>
                <w:rFonts w:hint="eastAsia" w:ascii="宋体" w:hAnsi="Times New Roman" w:eastAsia="宋体" w:cs="宋体"/>
                <w:color w:val="000000"/>
                <w:sz w:val="24"/>
                <w:szCs w:val="24"/>
                <w:lang w:val="en-US" w:eastAsia="zh-CN" w:bidi="ar-SA"/>
              </w:rPr>
            </w:pPr>
            <w:r>
              <w:rPr>
                <w:rFonts w:hint="eastAsia" w:ascii="Times New Roman" w:cs="Times New Roman"/>
                <w:b/>
                <w:bCs/>
                <w:i w:val="0"/>
                <w:iCs w:val="0"/>
                <w:color w:val="000000"/>
                <w:kern w:val="0"/>
                <w:sz w:val="21"/>
                <w:szCs w:val="21"/>
                <w:u w:val="none"/>
                <w:lang w:val="en-US" w:eastAsia="zh-CN" w:bidi="ar"/>
              </w:rPr>
              <w:t>投标文件内提供相关证明资料，并注明数值</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C070649">
            <w:pPr>
              <w:keepNext w:val="0"/>
              <w:keepLines w:val="0"/>
              <w:pageBreakBefore w:val="0"/>
              <w:widowControl/>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21"/>
                <w:szCs w:val="21"/>
                <w:u w:val="none"/>
              </w:rPr>
            </w:pPr>
          </w:p>
        </w:tc>
      </w:tr>
      <w:tr w14:paraId="57BFC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8" w:hRule="atLeast"/>
          <w:jc w:val="center"/>
        </w:trPr>
        <w:tc>
          <w:tcPr>
            <w:tcW w:w="767" w:type="dxa"/>
            <w:tcBorders>
              <w:top w:val="single" w:color="000000" w:sz="4" w:space="0"/>
              <w:left w:val="single" w:color="000000" w:sz="4" w:space="0"/>
              <w:bottom w:val="single" w:color="000000" w:sz="4" w:space="0"/>
              <w:right w:val="single" w:color="000000" w:sz="4" w:space="0"/>
            </w:tcBorders>
            <w:noWrap w:val="0"/>
            <w:vAlign w:val="center"/>
          </w:tcPr>
          <w:p w14:paraId="046751DC">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1"/>
                <w:szCs w:val="21"/>
                <w:u w:val="none"/>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14:paraId="6787497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内控水平</w:t>
            </w:r>
          </w:p>
        </w:tc>
        <w:tc>
          <w:tcPr>
            <w:tcW w:w="701" w:type="dxa"/>
            <w:tcBorders>
              <w:top w:val="single" w:color="auto" w:sz="4" w:space="0"/>
              <w:left w:val="single" w:color="000000" w:sz="4" w:space="0"/>
              <w:bottom w:val="single" w:color="000000" w:sz="4" w:space="0"/>
              <w:right w:val="single" w:color="000000" w:sz="4" w:space="0"/>
            </w:tcBorders>
            <w:noWrap/>
            <w:vAlign w:val="center"/>
          </w:tcPr>
          <w:p w14:paraId="5D14F36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955" w:type="dxa"/>
            <w:tcBorders>
              <w:top w:val="single" w:color="auto" w:sz="4" w:space="0"/>
              <w:left w:val="single" w:color="000000" w:sz="4" w:space="0"/>
              <w:right w:val="single" w:color="000000" w:sz="4" w:space="0"/>
            </w:tcBorders>
            <w:noWrap/>
            <w:vAlign w:val="center"/>
          </w:tcPr>
          <w:p w14:paraId="1AC45D3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提供完善的内控管理制度得</w:t>
            </w:r>
            <w:r>
              <w:rPr>
                <w:rFonts w:hint="eastAsia" w:ascii="Times New Roman" w:hAnsi="Times New Roman" w:eastAsia="宋体" w:cs="Times New Roman"/>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分</w:t>
            </w:r>
          </w:p>
          <w:p w14:paraId="507DC05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提供完善的保密制度的</w:t>
            </w:r>
            <w:r>
              <w:rPr>
                <w:rFonts w:hint="default" w:ascii="Times New Roman" w:hAnsi="Times New Roman" w:eastAsia="宋体" w:cs="Times New Roman"/>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分</w:t>
            </w:r>
          </w:p>
          <w:p w14:paraId="7F65CAB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提供对本行系统内网点进行有效管理和培训的资料得</w:t>
            </w:r>
            <w:r>
              <w:rPr>
                <w:rFonts w:hint="default" w:ascii="Times New Roman" w:hAnsi="Times New Roman" w:eastAsia="宋体" w:cs="Times New Roman"/>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分</w:t>
            </w:r>
          </w:p>
        </w:tc>
        <w:tc>
          <w:tcPr>
            <w:tcW w:w="4125" w:type="dxa"/>
            <w:tcBorders>
              <w:top w:val="single" w:color="auto" w:sz="4" w:space="0"/>
              <w:left w:val="single" w:color="000000" w:sz="4" w:space="0"/>
              <w:bottom w:val="single" w:color="000000" w:sz="4" w:space="0"/>
              <w:right w:val="single" w:color="000000" w:sz="4" w:space="0"/>
            </w:tcBorders>
            <w:noWrap/>
            <w:vAlign w:val="center"/>
          </w:tcPr>
          <w:p w14:paraId="0BD5823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根据提供相关制度和资料进行得分，</w:t>
            </w:r>
            <w:r>
              <w:rPr>
                <w:rFonts w:hint="eastAsia" w:ascii="宋体" w:hAnsi="宋体" w:eastAsia="宋体" w:cs="宋体"/>
                <w:i w:val="0"/>
                <w:iCs w:val="0"/>
                <w:color w:val="000000"/>
                <w:kern w:val="0"/>
                <w:sz w:val="21"/>
                <w:szCs w:val="21"/>
                <w:u w:val="none"/>
                <w:lang w:val="en-US" w:eastAsia="zh-CN" w:bidi="ar"/>
              </w:rPr>
              <w:t>本项</w:t>
            </w:r>
            <w:r>
              <w:rPr>
                <w:rFonts w:hint="eastAsia" w:ascii="宋体" w:hAnsi="宋体" w:cs="宋体"/>
                <w:i w:val="0"/>
                <w:iCs w:val="0"/>
                <w:color w:val="000000"/>
                <w:kern w:val="0"/>
                <w:sz w:val="21"/>
                <w:szCs w:val="21"/>
                <w:u w:val="none"/>
                <w:lang w:val="en-US" w:eastAsia="zh-CN" w:bidi="ar"/>
              </w:rPr>
              <w:t>可结合各</w:t>
            </w:r>
            <w:r>
              <w:rPr>
                <w:rFonts w:hint="eastAsia" w:ascii="宋体" w:hAnsi="宋体" w:eastAsia="宋体" w:cs="宋体"/>
                <w:i w:val="0"/>
                <w:iCs w:val="0"/>
                <w:color w:val="000000"/>
                <w:kern w:val="0"/>
                <w:sz w:val="21"/>
                <w:szCs w:val="21"/>
                <w:u w:val="none"/>
                <w:lang w:val="en-US" w:eastAsia="zh-CN" w:bidi="ar"/>
              </w:rPr>
              <w:t>细则合计得分</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6F4C928">
            <w:pPr>
              <w:keepNext w:val="0"/>
              <w:keepLines w:val="0"/>
              <w:pageBreakBefore w:val="0"/>
              <w:widowControl/>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21"/>
                <w:szCs w:val="21"/>
                <w:u w:val="none"/>
              </w:rPr>
            </w:pPr>
          </w:p>
        </w:tc>
      </w:tr>
      <w:tr w14:paraId="56A83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2E5F8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（二）利率水平指标（</w:t>
            </w:r>
            <w:r>
              <w:rPr>
                <w:rFonts w:hint="eastAsia" w:ascii="宋体" w:hAnsi="宋体" w:cs="宋体"/>
                <w:i w:val="0"/>
                <w:iCs w:val="0"/>
                <w:color w:val="000000"/>
                <w:kern w:val="0"/>
                <w:sz w:val="21"/>
                <w:szCs w:val="21"/>
                <w:highlight w:val="none"/>
                <w:u w:val="none"/>
                <w:lang w:val="en-US" w:eastAsia="zh-CN" w:bidi="ar"/>
              </w:rPr>
              <w:t>10</w:t>
            </w:r>
            <w:r>
              <w:rPr>
                <w:rFonts w:hint="eastAsia" w:ascii="宋体" w:hAnsi="宋体" w:eastAsia="宋体" w:cs="宋体"/>
                <w:i w:val="0"/>
                <w:iCs w:val="0"/>
                <w:color w:val="000000"/>
                <w:kern w:val="0"/>
                <w:sz w:val="21"/>
                <w:szCs w:val="21"/>
                <w:highlight w:val="none"/>
                <w:u w:val="none"/>
                <w:lang w:val="en-US" w:eastAsia="zh-CN" w:bidi="ar"/>
              </w:rPr>
              <w:t>分）</w:t>
            </w:r>
          </w:p>
        </w:tc>
        <w:tc>
          <w:tcPr>
            <w:tcW w:w="1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C00AF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highlight w:val="none"/>
                <w:u w:val="none"/>
              </w:rPr>
            </w:pPr>
            <w:r>
              <w:rPr>
                <w:rStyle w:val="16"/>
                <w:sz w:val="21"/>
                <w:szCs w:val="21"/>
                <w:highlight w:val="none"/>
                <w:lang w:val="en-US" w:eastAsia="zh-CN" w:bidi="ar"/>
              </w:rPr>
              <w:t>利率利息（</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Style w:val="16"/>
                <w:sz w:val="21"/>
                <w:szCs w:val="21"/>
                <w:highlight w:val="none"/>
                <w:lang w:val="en-US" w:eastAsia="zh-CN" w:bidi="ar"/>
              </w:rPr>
              <w:t>）</w:t>
            </w:r>
          </w:p>
        </w:tc>
        <w:tc>
          <w:tcPr>
            <w:tcW w:w="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2E9F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highlight w:val="none"/>
                <w:u w:val="none"/>
                <w:lang w:val="en-US"/>
              </w:rPr>
            </w:pPr>
            <w:r>
              <w:rPr>
                <w:rFonts w:hint="eastAsia" w:cs="Times New Roman"/>
                <w:i w:val="0"/>
                <w:iCs w:val="0"/>
                <w:color w:val="000000"/>
                <w:kern w:val="0"/>
                <w:sz w:val="21"/>
                <w:szCs w:val="21"/>
                <w:highlight w:val="none"/>
                <w:u w:val="none"/>
                <w:lang w:val="en-US" w:eastAsia="zh-CN" w:bidi="ar"/>
              </w:rPr>
              <w:t>10</w:t>
            </w:r>
          </w:p>
        </w:tc>
        <w:tc>
          <w:tcPr>
            <w:tcW w:w="19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B5C9C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以我市各金融机构1年期公对公定期存款当前执行利率为基础，利率执行最高的得10分，较最高执行利率每低0.1个百分点，扣2分。</w:t>
            </w:r>
          </w:p>
        </w:tc>
        <w:tc>
          <w:tcPr>
            <w:tcW w:w="4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9D1F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Style w:val="16"/>
                <w:sz w:val="21"/>
                <w:szCs w:val="21"/>
                <w:highlight w:val="none"/>
                <w:lang w:val="en-US" w:eastAsia="zh-CN" w:bidi="ar"/>
              </w:rPr>
            </w:pPr>
            <w:r>
              <w:rPr>
                <w:rStyle w:val="16"/>
                <w:sz w:val="21"/>
                <w:szCs w:val="21"/>
                <w:highlight w:val="none"/>
                <w:lang w:val="en-US" w:eastAsia="zh-CN" w:bidi="ar"/>
              </w:rPr>
              <w:t>利率利息（</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Style w:val="16"/>
                <w:sz w:val="21"/>
                <w:szCs w:val="21"/>
                <w:highlight w:val="none"/>
                <w:lang w:val="en-US" w:eastAsia="zh-CN" w:bidi="ar"/>
              </w:rPr>
              <w:t>）</w:t>
            </w:r>
          </w:p>
          <w:p w14:paraId="407349C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Style w:val="16"/>
                <w:sz w:val="21"/>
                <w:szCs w:val="21"/>
                <w:highlight w:val="none"/>
                <w:lang w:val="en-US" w:eastAsia="zh-CN" w:bidi="ar"/>
              </w:rPr>
            </w:pPr>
          </w:p>
          <w:p w14:paraId="70F0BCC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highlight w:val="none"/>
                <w:u w:val="none"/>
              </w:rPr>
            </w:pPr>
            <w:r>
              <w:rPr>
                <w:rFonts w:hint="eastAsia" w:ascii="Times New Roman" w:cs="Times New Roman"/>
                <w:b/>
                <w:bCs/>
                <w:i w:val="0"/>
                <w:iCs w:val="0"/>
                <w:color w:val="000000"/>
                <w:kern w:val="0"/>
                <w:sz w:val="21"/>
                <w:szCs w:val="21"/>
                <w:highlight w:val="none"/>
                <w:u w:val="none"/>
                <w:lang w:val="en-US" w:eastAsia="zh-CN" w:bidi="ar"/>
              </w:rPr>
              <w:t>投标文件内提供相关证明资料，并注明数值</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7B7F9">
            <w:pPr>
              <w:keepNext w:val="0"/>
              <w:keepLines w:val="0"/>
              <w:pageBreakBefore w:val="0"/>
              <w:widowControl/>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21"/>
                <w:szCs w:val="21"/>
                <w:highlight w:val="none"/>
                <w:u w:val="none"/>
              </w:rPr>
            </w:pPr>
          </w:p>
        </w:tc>
      </w:tr>
      <w:tr w14:paraId="01473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767" w:type="dxa"/>
            <w:vMerge w:val="restart"/>
            <w:tcBorders>
              <w:top w:val="single" w:color="000000" w:sz="4" w:space="0"/>
              <w:left w:val="single" w:color="000000" w:sz="4" w:space="0"/>
              <w:bottom w:val="single" w:color="000000" w:sz="4" w:space="0"/>
              <w:right w:val="single" w:color="000000" w:sz="4" w:space="0"/>
            </w:tcBorders>
            <w:noWrap w:val="0"/>
            <w:vAlign w:val="center"/>
          </w:tcPr>
          <w:p w14:paraId="0D72A24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（三）对地方经济贡献指标（3</w:t>
            </w: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分）</w:t>
            </w:r>
          </w:p>
        </w:tc>
        <w:tc>
          <w:tcPr>
            <w:tcW w:w="1909" w:type="dxa"/>
            <w:vMerge w:val="restart"/>
            <w:tcBorders>
              <w:top w:val="single" w:color="000000" w:sz="4" w:space="0"/>
              <w:left w:val="single" w:color="000000" w:sz="4" w:space="0"/>
              <w:right w:val="single" w:color="000000" w:sz="4" w:space="0"/>
            </w:tcBorders>
            <w:noWrap/>
            <w:vAlign w:val="center"/>
          </w:tcPr>
          <w:p w14:paraId="11B0776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截至2025年6月末端对我市贷款规模（剔除广义信贷口径）（亿元）</w:t>
            </w:r>
          </w:p>
        </w:tc>
        <w:tc>
          <w:tcPr>
            <w:tcW w:w="701" w:type="dxa"/>
            <w:vMerge w:val="restart"/>
            <w:tcBorders>
              <w:top w:val="single" w:color="000000" w:sz="4" w:space="0"/>
              <w:left w:val="single" w:color="000000" w:sz="4" w:space="0"/>
              <w:right w:val="single" w:color="000000" w:sz="4" w:space="0"/>
            </w:tcBorders>
            <w:noWrap/>
            <w:vAlign w:val="center"/>
          </w:tcPr>
          <w:p w14:paraId="7DCA500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955" w:type="dxa"/>
            <w:vMerge w:val="restart"/>
            <w:tcBorders>
              <w:top w:val="single" w:color="000000" w:sz="4" w:space="0"/>
              <w:left w:val="single" w:color="000000" w:sz="4" w:space="0"/>
              <w:right w:val="single" w:color="000000" w:sz="4" w:space="0"/>
            </w:tcBorders>
            <w:noWrap/>
            <w:vAlign w:val="center"/>
          </w:tcPr>
          <w:p w14:paraId="090AA21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以下得</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分</w:t>
            </w:r>
          </w:p>
          <w:p w14:paraId="2796D37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25-50</w:t>
            </w:r>
            <w:r>
              <w:rPr>
                <w:rFonts w:hint="eastAsia" w:ascii="宋体" w:hAnsi="宋体" w:eastAsia="宋体" w:cs="宋体"/>
                <w:i w:val="0"/>
                <w:iCs w:val="0"/>
                <w:color w:val="000000"/>
                <w:kern w:val="0"/>
                <w:sz w:val="21"/>
                <w:szCs w:val="21"/>
                <w:u w:val="none"/>
                <w:lang w:val="en-US" w:eastAsia="zh-CN" w:bidi="ar"/>
              </w:rPr>
              <w:t>得</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分</w:t>
            </w:r>
          </w:p>
          <w:p w14:paraId="6202E25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50-75</w:t>
            </w:r>
            <w:r>
              <w:rPr>
                <w:rFonts w:hint="eastAsia" w:ascii="宋体" w:hAnsi="宋体" w:eastAsia="宋体" w:cs="宋体"/>
                <w:i w:val="0"/>
                <w:iCs w:val="0"/>
                <w:color w:val="000000"/>
                <w:kern w:val="0"/>
                <w:sz w:val="21"/>
                <w:szCs w:val="21"/>
                <w:u w:val="none"/>
                <w:lang w:val="en-US" w:eastAsia="zh-CN" w:bidi="ar"/>
              </w:rPr>
              <w:t>得</w:t>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分</w:t>
            </w:r>
          </w:p>
          <w:p w14:paraId="7DEE4AD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75-100</w:t>
            </w:r>
            <w:r>
              <w:rPr>
                <w:rFonts w:hint="eastAsia" w:ascii="宋体" w:hAnsi="宋体" w:eastAsia="宋体" w:cs="宋体"/>
                <w:i w:val="0"/>
                <w:iCs w:val="0"/>
                <w:color w:val="000000"/>
                <w:kern w:val="0"/>
                <w:sz w:val="21"/>
                <w:szCs w:val="21"/>
                <w:u w:val="none"/>
                <w:lang w:val="en-US" w:eastAsia="zh-CN" w:bidi="ar"/>
              </w:rPr>
              <w:t>得</w:t>
            </w:r>
            <w:r>
              <w:rPr>
                <w:rFonts w:hint="default" w:ascii="Times New Roman" w:hAnsi="Times New Roman" w:eastAsia="宋体" w:cs="Times New Roman"/>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分</w:t>
            </w:r>
          </w:p>
          <w:p w14:paraId="651E962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以上得</w:t>
            </w:r>
            <w:r>
              <w:rPr>
                <w:rFonts w:hint="default" w:ascii="Times New Roman" w:hAnsi="Times New Roman" w:eastAsia="宋体" w:cs="Times New Roman"/>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分</w:t>
            </w:r>
          </w:p>
        </w:tc>
        <w:tc>
          <w:tcPr>
            <w:tcW w:w="4125" w:type="dxa"/>
            <w:vMerge w:val="restart"/>
            <w:tcBorders>
              <w:top w:val="single" w:color="000000" w:sz="4" w:space="0"/>
              <w:left w:val="single" w:color="000000" w:sz="4" w:space="0"/>
              <w:right w:val="single" w:color="000000" w:sz="4" w:space="0"/>
            </w:tcBorders>
            <w:noWrap/>
            <w:vAlign w:val="center"/>
          </w:tcPr>
          <w:p w14:paraId="3B09509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Style w:val="16"/>
                <w:sz w:val="21"/>
                <w:szCs w:val="21"/>
                <w:lang w:val="en-US" w:eastAsia="zh-CN" w:bidi="ar"/>
              </w:rPr>
              <w:t>每项数值上限不含本数，如：</w:t>
            </w:r>
            <w:r>
              <w:rPr>
                <w:rFonts w:hint="default" w:ascii="Times New Roman" w:hAnsi="Times New Roman" w:eastAsia="宋体" w:cs="Times New Roman"/>
                <w:i w:val="0"/>
                <w:iCs w:val="0"/>
                <w:color w:val="000000"/>
                <w:kern w:val="0"/>
                <w:sz w:val="21"/>
                <w:szCs w:val="21"/>
                <w:u w:val="none"/>
                <w:lang w:val="en-US" w:eastAsia="zh-CN" w:bidi="ar"/>
              </w:rPr>
              <w:t>25-50</w:t>
            </w:r>
            <w:r>
              <w:rPr>
                <w:rStyle w:val="16"/>
                <w:sz w:val="21"/>
                <w:szCs w:val="21"/>
                <w:lang w:val="en-US" w:eastAsia="zh-CN" w:bidi="ar"/>
              </w:rPr>
              <w:t>，不含</w:t>
            </w:r>
            <w:r>
              <w:rPr>
                <w:rFonts w:hint="default" w:ascii="Times New Roman" w:hAnsi="Times New Roman" w:eastAsia="宋体" w:cs="Times New Roman"/>
                <w:i w:val="0"/>
                <w:iCs w:val="0"/>
                <w:color w:val="000000"/>
                <w:kern w:val="0"/>
                <w:sz w:val="21"/>
                <w:szCs w:val="21"/>
                <w:u w:val="none"/>
                <w:lang w:val="en-US" w:eastAsia="zh-CN" w:bidi="ar"/>
              </w:rPr>
              <w:t>50</w:t>
            </w:r>
            <w:r>
              <w:rPr>
                <w:rStyle w:val="16"/>
                <w:sz w:val="21"/>
                <w:szCs w:val="21"/>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100</w:t>
            </w:r>
            <w:r>
              <w:rPr>
                <w:rStyle w:val="16"/>
                <w:sz w:val="21"/>
                <w:szCs w:val="21"/>
                <w:lang w:val="en-US" w:eastAsia="zh-CN" w:bidi="ar"/>
              </w:rPr>
              <w:t>以上，含</w:t>
            </w:r>
            <w:r>
              <w:rPr>
                <w:rFonts w:hint="default" w:ascii="Times New Roman" w:hAnsi="Times New Roman" w:eastAsia="宋体" w:cs="Times New Roman"/>
                <w:i w:val="0"/>
                <w:iCs w:val="0"/>
                <w:color w:val="000000"/>
                <w:kern w:val="0"/>
                <w:sz w:val="21"/>
                <w:szCs w:val="21"/>
                <w:u w:val="none"/>
                <w:lang w:val="en-US" w:eastAsia="zh-CN" w:bidi="ar"/>
              </w:rPr>
              <w:t>100</w:t>
            </w:r>
          </w:p>
          <w:p w14:paraId="4A424A65">
            <w:pPr>
              <w:pStyle w:val="13"/>
              <w:rPr>
                <w:rFonts w:hint="default"/>
              </w:rPr>
            </w:pPr>
            <w:r>
              <w:rPr>
                <w:rFonts w:hint="eastAsia" w:ascii="Times New Roman" w:cs="Times New Roman"/>
                <w:b/>
                <w:bCs/>
                <w:i w:val="0"/>
                <w:iCs w:val="0"/>
                <w:color w:val="000000"/>
                <w:kern w:val="0"/>
                <w:sz w:val="21"/>
                <w:szCs w:val="21"/>
                <w:u w:val="none"/>
                <w:lang w:val="en-US" w:eastAsia="zh-CN" w:bidi="ar"/>
              </w:rPr>
              <w:t>投标文件内提供相关证明资料，并注明数值</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C1CFDA0">
            <w:pPr>
              <w:keepNext w:val="0"/>
              <w:keepLines w:val="0"/>
              <w:pageBreakBefore w:val="0"/>
              <w:widowControl/>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21"/>
                <w:szCs w:val="21"/>
                <w:u w:val="none"/>
              </w:rPr>
            </w:pPr>
          </w:p>
        </w:tc>
      </w:tr>
      <w:tr w14:paraId="268B7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C4B72A">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1"/>
                <w:szCs w:val="21"/>
                <w:u w:val="none"/>
              </w:rPr>
            </w:pPr>
          </w:p>
        </w:tc>
        <w:tc>
          <w:tcPr>
            <w:tcW w:w="1909" w:type="dxa"/>
            <w:vMerge w:val="continue"/>
            <w:tcBorders>
              <w:left w:val="single" w:color="000000" w:sz="4" w:space="0"/>
              <w:bottom w:val="single" w:color="000000" w:sz="4" w:space="0"/>
              <w:right w:val="single" w:color="000000" w:sz="4" w:space="0"/>
            </w:tcBorders>
            <w:noWrap w:val="0"/>
            <w:vAlign w:val="center"/>
          </w:tcPr>
          <w:p w14:paraId="1B86E34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sz w:val="21"/>
                <w:szCs w:val="21"/>
                <w:u w:val="none"/>
              </w:rPr>
            </w:pPr>
          </w:p>
        </w:tc>
        <w:tc>
          <w:tcPr>
            <w:tcW w:w="701" w:type="dxa"/>
            <w:vMerge w:val="continue"/>
            <w:tcBorders>
              <w:left w:val="single" w:color="000000" w:sz="4" w:space="0"/>
              <w:bottom w:val="single" w:color="000000" w:sz="4" w:space="0"/>
              <w:right w:val="single" w:color="000000" w:sz="4" w:space="0"/>
            </w:tcBorders>
            <w:noWrap/>
            <w:vAlign w:val="center"/>
          </w:tcPr>
          <w:p w14:paraId="3D627F9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p>
        </w:tc>
        <w:tc>
          <w:tcPr>
            <w:tcW w:w="1955" w:type="dxa"/>
            <w:vMerge w:val="continue"/>
            <w:tcBorders>
              <w:left w:val="single" w:color="000000" w:sz="4" w:space="0"/>
              <w:right w:val="single" w:color="000000" w:sz="4" w:space="0"/>
            </w:tcBorders>
            <w:noWrap/>
            <w:vAlign w:val="center"/>
          </w:tcPr>
          <w:p w14:paraId="07362B0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p>
        </w:tc>
        <w:tc>
          <w:tcPr>
            <w:tcW w:w="4125" w:type="dxa"/>
            <w:vMerge w:val="continue"/>
            <w:tcBorders>
              <w:left w:val="single" w:color="000000" w:sz="4" w:space="0"/>
              <w:bottom w:val="single" w:color="000000" w:sz="4" w:space="0"/>
              <w:right w:val="single" w:color="000000" w:sz="4" w:space="0"/>
            </w:tcBorders>
            <w:noWrap w:val="0"/>
            <w:vAlign w:val="center"/>
          </w:tcPr>
          <w:p w14:paraId="1CB73DC4">
            <w:pPr>
              <w:pStyle w:val="13"/>
              <w:rPr>
                <w:rFonts w:hint="default"/>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890B99B">
            <w:pPr>
              <w:keepNext w:val="0"/>
              <w:keepLines w:val="0"/>
              <w:pageBreakBefore w:val="0"/>
              <w:widowControl/>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21"/>
                <w:szCs w:val="21"/>
                <w:u w:val="none"/>
              </w:rPr>
            </w:pPr>
          </w:p>
        </w:tc>
      </w:tr>
      <w:tr w14:paraId="120F9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9"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C79636">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1"/>
                <w:szCs w:val="21"/>
                <w:u w:val="none"/>
              </w:rPr>
            </w:pP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66376A9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Style w:val="16"/>
                <w:sz w:val="21"/>
                <w:szCs w:val="21"/>
                <w:lang w:val="en-US" w:eastAsia="zh-CN" w:bidi="ar"/>
              </w:rPr>
              <w:t>近三年（</w:t>
            </w:r>
            <w:r>
              <w:rPr>
                <w:rFonts w:hint="default" w:ascii="Times New Roman" w:hAnsi="Times New Roman" w:eastAsia="宋体" w:cs="Times New Roman"/>
                <w:i w:val="0"/>
                <w:iCs w:val="0"/>
                <w:color w:val="000000"/>
                <w:kern w:val="0"/>
                <w:sz w:val="21"/>
                <w:szCs w:val="21"/>
                <w:u w:val="none"/>
                <w:lang w:val="en-US" w:eastAsia="zh-CN" w:bidi="ar"/>
              </w:rPr>
              <w:t>2022-2024</w:t>
            </w:r>
            <w:r>
              <w:rPr>
                <w:rStyle w:val="16"/>
                <w:sz w:val="21"/>
                <w:szCs w:val="21"/>
                <w:lang w:val="en-US" w:eastAsia="zh-CN" w:bidi="ar"/>
              </w:rPr>
              <w:t>年）对我市净增贷款规模（剔除广义信贷口径）（亿元）</w:t>
            </w:r>
          </w:p>
        </w:tc>
        <w:tc>
          <w:tcPr>
            <w:tcW w:w="701" w:type="dxa"/>
            <w:tcBorders>
              <w:top w:val="single" w:color="000000" w:sz="4" w:space="0"/>
              <w:left w:val="single" w:color="000000" w:sz="4" w:space="0"/>
              <w:bottom w:val="single" w:color="000000" w:sz="4" w:space="0"/>
              <w:right w:val="single" w:color="000000" w:sz="4" w:space="0"/>
            </w:tcBorders>
            <w:noWrap/>
            <w:vAlign w:val="center"/>
          </w:tcPr>
          <w:p w14:paraId="77841D7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955" w:type="dxa"/>
            <w:tcBorders>
              <w:top w:val="single" w:color="000000" w:sz="4" w:space="0"/>
              <w:left w:val="single" w:color="000000" w:sz="4" w:space="0"/>
              <w:right w:val="single" w:color="000000" w:sz="4" w:space="0"/>
            </w:tcBorders>
            <w:noWrap/>
            <w:vAlign w:val="center"/>
          </w:tcPr>
          <w:p w14:paraId="5D95AD3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以下得</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分</w:t>
            </w:r>
          </w:p>
          <w:p w14:paraId="4E40EC8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5-10</w:t>
            </w:r>
            <w:r>
              <w:rPr>
                <w:rFonts w:hint="eastAsia" w:ascii="宋体" w:hAnsi="宋体" w:eastAsia="宋体" w:cs="宋体"/>
                <w:i w:val="0"/>
                <w:iCs w:val="0"/>
                <w:color w:val="000000"/>
                <w:kern w:val="0"/>
                <w:sz w:val="21"/>
                <w:szCs w:val="21"/>
                <w:u w:val="none"/>
                <w:lang w:val="en-US" w:eastAsia="zh-CN" w:bidi="ar"/>
              </w:rPr>
              <w:t>得</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分</w:t>
            </w:r>
          </w:p>
          <w:p w14:paraId="140608A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10-20</w:t>
            </w:r>
            <w:r>
              <w:rPr>
                <w:rFonts w:hint="eastAsia" w:ascii="宋体" w:hAnsi="宋体" w:eastAsia="宋体" w:cs="宋体"/>
                <w:i w:val="0"/>
                <w:iCs w:val="0"/>
                <w:color w:val="000000"/>
                <w:kern w:val="0"/>
                <w:sz w:val="21"/>
                <w:szCs w:val="21"/>
                <w:u w:val="none"/>
                <w:lang w:val="en-US" w:eastAsia="zh-CN" w:bidi="ar"/>
              </w:rPr>
              <w:t>得</w:t>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分</w:t>
            </w:r>
          </w:p>
          <w:p w14:paraId="456CB8F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20-30</w:t>
            </w:r>
            <w:r>
              <w:rPr>
                <w:rFonts w:hint="eastAsia" w:ascii="宋体" w:hAnsi="宋体" w:eastAsia="宋体" w:cs="宋体"/>
                <w:i w:val="0"/>
                <w:iCs w:val="0"/>
                <w:color w:val="000000"/>
                <w:kern w:val="0"/>
                <w:sz w:val="21"/>
                <w:szCs w:val="21"/>
                <w:u w:val="none"/>
                <w:lang w:val="en-US" w:eastAsia="zh-CN" w:bidi="ar"/>
              </w:rPr>
              <w:t>得</w:t>
            </w:r>
            <w:r>
              <w:rPr>
                <w:rFonts w:hint="default" w:ascii="Times New Roman" w:hAnsi="Times New Roman" w:eastAsia="宋体" w:cs="Times New Roman"/>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分</w:t>
            </w:r>
          </w:p>
          <w:p w14:paraId="1B104C4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以上得</w:t>
            </w:r>
            <w:r>
              <w:rPr>
                <w:rFonts w:hint="default" w:ascii="Times New Roman" w:hAnsi="Times New Roman" w:eastAsia="宋体" w:cs="Times New Roman"/>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分</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AA3CAC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Style w:val="16"/>
                <w:sz w:val="21"/>
                <w:szCs w:val="21"/>
                <w:lang w:val="en-US" w:eastAsia="zh-CN" w:bidi="ar"/>
              </w:rPr>
              <w:t>每项数值上限不含本数，如：</w:t>
            </w:r>
            <w:r>
              <w:rPr>
                <w:rFonts w:hint="default" w:ascii="Times New Roman" w:hAnsi="Times New Roman" w:eastAsia="宋体" w:cs="Times New Roman"/>
                <w:i w:val="0"/>
                <w:iCs w:val="0"/>
                <w:color w:val="000000"/>
                <w:kern w:val="0"/>
                <w:sz w:val="21"/>
                <w:szCs w:val="21"/>
                <w:u w:val="none"/>
                <w:lang w:val="en-US" w:eastAsia="zh-CN" w:bidi="ar"/>
              </w:rPr>
              <w:t>5-10</w:t>
            </w:r>
            <w:r>
              <w:rPr>
                <w:rStyle w:val="16"/>
                <w:sz w:val="21"/>
                <w:szCs w:val="21"/>
                <w:lang w:val="en-US" w:eastAsia="zh-CN" w:bidi="ar"/>
              </w:rPr>
              <w:t>，不含</w:t>
            </w:r>
            <w:r>
              <w:rPr>
                <w:rFonts w:hint="default" w:ascii="Times New Roman" w:hAnsi="Times New Roman" w:eastAsia="宋体" w:cs="Times New Roman"/>
                <w:i w:val="0"/>
                <w:iCs w:val="0"/>
                <w:color w:val="000000"/>
                <w:kern w:val="0"/>
                <w:sz w:val="21"/>
                <w:szCs w:val="21"/>
                <w:u w:val="none"/>
                <w:lang w:val="en-US" w:eastAsia="zh-CN" w:bidi="ar"/>
              </w:rPr>
              <w:t>10</w:t>
            </w:r>
            <w:r>
              <w:rPr>
                <w:rStyle w:val="16"/>
                <w:sz w:val="21"/>
                <w:szCs w:val="21"/>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30</w:t>
            </w:r>
            <w:r>
              <w:rPr>
                <w:rStyle w:val="16"/>
                <w:sz w:val="21"/>
                <w:szCs w:val="21"/>
                <w:lang w:val="en-US" w:eastAsia="zh-CN" w:bidi="ar"/>
              </w:rPr>
              <w:t>以上，含</w:t>
            </w:r>
            <w:r>
              <w:rPr>
                <w:rFonts w:hint="default" w:ascii="Times New Roman" w:hAnsi="Times New Roman" w:eastAsia="宋体" w:cs="Times New Roman"/>
                <w:i w:val="0"/>
                <w:iCs w:val="0"/>
                <w:color w:val="000000"/>
                <w:kern w:val="0"/>
                <w:sz w:val="21"/>
                <w:szCs w:val="21"/>
                <w:u w:val="none"/>
                <w:lang w:val="en-US" w:eastAsia="zh-CN" w:bidi="ar"/>
              </w:rPr>
              <w:t>30</w:t>
            </w:r>
          </w:p>
          <w:p w14:paraId="3042EE7C">
            <w:pPr>
              <w:pStyle w:val="13"/>
              <w:rPr>
                <w:rFonts w:hint="default"/>
              </w:rPr>
            </w:pPr>
            <w:r>
              <w:rPr>
                <w:rFonts w:hint="eastAsia" w:ascii="Times New Roman" w:cs="Times New Roman"/>
                <w:b/>
                <w:bCs/>
                <w:i w:val="0"/>
                <w:iCs w:val="0"/>
                <w:color w:val="000000"/>
                <w:kern w:val="0"/>
                <w:sz w:val="21"/>
                <w:szCs w:val="21"/>
                <w:u w:val="none"/>
                <w:lang w:val="en-US" w:eastAsia="zh-CN" w:bidi="ar"/>
              </w:rPr>
              <w:t>投标文件内提供相关证明资料，并注明数值</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1D8968F">
            <w:pPr>
              <w:keepNext w:val="0"/>
              <w:keepLines w:val="0"/>
              <w:pageBreakBefore w:val="0"/>
              <w:widowControl/>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21"/>
                <w:szCs w:val="21"/>
                <w:u w:val="none"/>
              </w:rPr>
            </w:pPr>
          </w:p>
        </w:tc>
      </w:tr>
      <w:tr w14:paraId="5D006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82D953">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1"/>
                <w:szCs w:val="21"/>
                <w:u w:val="none"/>
              </w:rPr>
            </w:pP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08BA7C3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吉林省国库集中支付业务资格银行</w:t>
            </w:r>
          </w:p>
        </w:tc>
        <w:tc>
          <w:tcPr>
            <w:tcW w:w="701" w:type="dxa"/>
            <w:tcBorders>
              <w:top w:val="single" w:color="000000" w:sz="4" w:space="0"/>
              <w:left w:val="single" w:color="000000" w:sz="4" w:space="0"/>
              <w:bottom w:val="single" w:color="000000" w:sz="4" w:space="0"/>
              <w:right w:val="single" w:color="000000" w:sz="4" w:space="0"/>
            </w:tcBorders>
            <w:noWrap/>
            <w:vAlign w:val="center"/>
          </w:tcPr>
          <w:p w14:paraId="4EE1BD2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61F231E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是</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得</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分，</w:t>
            </w:r>
          </w:p>
          <w:p w14:paraId="00047FB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否</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不得分</w:t>
            </w:r>
          </w:p>
        </w:tc>
        <w:tc>
          <w:tcPr>
            <w:tcW w:w="4125" w:type="dxa"/>
            <w:tcBorders>
              <w:top w:val="single" w:color="000000" w:sz="4" w:space="0"/>
              <w:left w:val="single" w:color="000000" w:sz="4" w:space="0"/>
              <w:bottom w:val="single" w:color="000000" w:sz="4" w:space="0"/>
              <w:right w:val="single" w:color="000000" w:sz="4" w:space="0"/>
            </w:tcBorders>
            <w:noWrap/>
            <w:vAlign w:val="center"/>
          </w:tcPr>
          <w:p w14:paraId="202F015D">
            <w:pPr>
              <w:keepNext w:val="0"/>
              <w:keepLines w:val="0"/>
              <w:pageBreakBefore w:val="0"/>
              <w:widowControl/>
              <w:kinsoku/>
              <w:wordWrap/>
              <w:overflowPunct/>
              <w:topLinePunct w:val="0"/>
              <w:autoSpaceDE/>
              <w:autoSpaceDN/>
              <w:bidi w:val="0"/>
              <w:adjustRightInd/>
              <w:snapToGrid/>
              <w:spacing w:line="0" w:lineRule="atLeast"/>
              <w:jc w:val="both"/>
              <w:rPr>
                <w:rFonts w:hint="default" w:ascii="Times New Roman" w:hAnsi="Times New Roman" w:eastAsia="宋体" w:cs="Times New Roman"/>
                <w:i w:val="0"/>
                <w:iCs w:val="0"/>
                <w:color w:val="000000"/>
                <w:sz w:val="21"/>
                <w:szCs w:val="21"/>
                <w:u w:val="none"/>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E08EA74">
            <w:pPr>
              <w:keepNext w:val="0"/>
              <w:keepLines w:val="0"/>
              <w:pageBreakBefore w:val="0"/>
              <w:widowControl/>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21"/>
                <w:szCs w:val="21"/>
                <w:u w:val="none"/>
              </w:rPr>
            </w:pPr>
          </w:p>
        </w:tc>
      </w:tr>
      <w:tr w14:paraId="4F7E9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9"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959C15">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1"/>
                <w:szCs w:val="21"/>
                <w:u w:val="none"/>
              </w:rPr>
            </w:pP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2B0EE1E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截至2025年6月末涉农贷款余额（剔除广义信贷口径）（亿元）</w:t>
            </w:r>
          </w:p>
        </w:tc>
        <w:tc>
          <w:tcPr>
            <w:tcW w:w="701" w:type="dxa"/>
            <w:tcBorders>
              <w:top w:val="single" w:color="000000" w:sz="4" w:space="0"/>
              <w:left w:val="single" w:color="000000" w:sz="4" w:space="0"/>
              <w:bottom w:val="single" w:color="000000" w:sz="4" w:space="0"/>
              <w:right w:val="single" w:color="000000" w:sz="4" w:space="0"/>
            </w:tcBorders>
            <w:noWrap/>
            <w:vAlign w:val="center"/>
          </w:tcPr>
          <w:p w14:paraId="31D4BDF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955" w:type="dxa"/>
            <w:tcBorders>
              <w:top w:val="single" w:color="000000" w:sz="4" w:space="0"/>
              <w:left w:val="single" w:color="000000" w:sz="4" w:space="0"/>
              <w:right w:val="single" w:color="000000" w:sz="4" w:space="0"/>
            </w:tcBorders>
            <w:noWrap/>
            <w:vAlign w:val="center"/>
          </w:tcPr>
          <w:p w14:paraId="48DA40C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5以下得1分</w:t>
            </w:r>
          </w:p>
          <w:p w14:paraId="5613C7D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5-10得2分</w:t>
            </w:r>
          </w:p>
          <w:p w14:paraId="6B6F39C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10-20得3分</w:t>
            </w:r>
          </w:p>
          <w:p w14:paraId="011FECF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20-30得4分</w:t>
            </w:r>
          </w:p>
          <w:p w14:paraId="7CCA0D7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30以上得5分</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71FE41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Style w:val="16"/>
                <w:sz w:val="21"/>
                <w:szCs w:val="21"/>
                <w:lang w:val="en-US" w:eastAsia="zh-CN" w:bidi="ar"/>
              </w:rPr>
              <w:t>每项数值上限不含本数，如：</w:t>
            </w:r>
            <w:r>
              <w:rPr>
                <w:rFonts w:hint="default" w:ascii="Times New Roman" w:hAnsi="Times New Roman" w:eastAsia="宋体" w:cs="Times New Roman"/>
                <w:i w:val="0"/>
                <w:iCs w:val="0"/>
                <w:color w:val="000000"/>
                <w:kern w:val="0"/>
                <w:sz w:val="21"/>
                <w:szCs w:val="21"/>
                <w:u w:val="none"/>
                <w:lang w:val="en-US" w:eastAsia="zh-CN" w:bidi="ar"/>
              </w:rPr>
              <w:t>5-10</w:t>
            </w:r>
            <w:r>
              <w:rPr>
                <w:rStyle w:val="16"/>
                <w:sz w:val="21"/>
                <w:szCs w:val="21"/>
                <w:lang w:val="en-US" w:eastAsia="zh-CN" w:bidi="ar"/>
              </w:rPr>
              <w:t>，不含</w:t>
            </w:r>
            <w:r>
              <w:rPr>
                <w:rFonts w:hint="default" w:ascii="Times New Roman" w:hAnsi="Times New Roman" w:eastAsia="宋体" w:cs="Times New Roman"/>
                <w:i w:val="0"/>
                <w:iCs w:val="0"/>
                <w:color w:val="000000"/>
                <w:kern w:val="0"/>
                <w:sz w:val="21"/>
                <w:szCs w:val="21"/>
                <w:u w:val="none"/>
                <w:lang w:val="en-US" w:eastAsia="zh-CN" w:bidi="ar"/>
              </w:rPr>
              <w:t>10</w:t>
            </w:r>
            <w:r>
              <w:rPr>
                <w:rStyle w:val="16"/>
                <w:sz w:val="21"/>
                <w:szCs w:val="21"/>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30</w:t>
            </w:r>
            <w:r>
              <w:rPr>
                <w:rStyle w:val="16"/>
                <w:sz w:val="21"/>
                <w:szCs w:val="21"/>
                <w:lang w:val="en-US" w:eastAsia="zh-CN" w:bidi="ar"/>
              </w:rPr>
              <w:t>以上，含</w:t>
            </w:r>
            <w:r>
              <w:rPr>
                <w:rFonts w:hint="default" w:ascii="Times New Roman" w:hAnsi="Times New Roman" w:eastAsia="宋体" w:cs="Times New Roman"/>
                <w:i w:val="0"/>
                <w:iCs w:val="0"/>
                <w:color w:val="000000"/>
                <w:kern w:val="0"/>
                <w:sz w:val="21"/>
                <w:szCs w:val="21"/>
                <w:u w:val="none"/>
                <w:lang w:val="en-US" w:eastAsia="zh-CN" w:bidi="ar"/>
              </w:rPr>
              <w:t>30</w:t>
            </w:r>
          </w:p>
          <w:p w14:paraId="0D472C39">
            <w:pPr>
              <w:pStyle w:val="13"/>
              <w:rPr>
                <w:rFonts w:hint="default"/>
              </w:rPr>
            </w:pPr>
            <w:r>
              <w:rPr>
                <w:rFonts w:hint="eastAsia" w:ascii="Times New Roman" w:cs="Times New Roman"/>
                <w:b/>
                <w:bCs/>
                <w:i w:val="0"/>
                <w:iCs w:val="0"/>
                <w:color w:val="000000"/>
                <w:kern w:val="0"/>
                <w:sz w:val="21"/>
                <w:szCs w:val="21"/>
                <w:u w:val="none"/>
                <w:lang w:val="en-US" w:eastAsia="zh-CN" w:bidi="ar"/>
              </w:rPr>
              <w:t>投标文件内提供相关证明资料，并注明数值</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765CE99">
            <w:pPr>
              <w:keepNext w:val="0"/>
              <w:keepLines w:val="0"/>
              <w:pageBreakBefore w:val="0"/>
              <w:widowControl/>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21"/>
                <w:szCs w:val="21"/>
                <w:u w:val="none"/>
              </w:rPr>
            </w:pPr>
          </w:p>
        </w:tc>
      </w:tr>
      <w:tr w14:paraId="49025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9"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95ABB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kern w:val="0"/>
                <w:sz w:val="21"/>
                <w:szCs w:val="21"/>
                <w:u w:val="none"/>
                <w:lang w:val="en-US" w:eastAsia="zh-CN" w:bidi="ar"/>
              </w:rPr>
            </w:pP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5AC9140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截至2025年6月末对小微企业贷款规模（剔除广义信贷口径）（亿元）</w:t>
            </w:r>
          </w:p>
        </w:tc>
        <w:tc>
          <w:tcPr>
            <w:tcW w:w="701" w:type="dxa"/>
            <w:tcBorders>
              <w:top w:val="single" w:color="000000" w:sz="4" w:space="0"/>
              <w:left w:val="single" w:color="000000" w:sz="4" w:space="0"/>
              <w:bottom w:val="single" w:color="000000" w:sz="4" w:space="0"/>
              <w:right w:val="single" w:color="000000" w:sz="4" w:space="0"/>
            </w:tcBorders>
            <w:noWrap/>
            <w:vAlign w:val="center"/>
          </w:tcPr>
          <w:p w14:paraId="2D8C46B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197CB8F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5以下得1分</w:t>
            </w:r>
          </w:p>
          <w:p w14:paraId="1BB7288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5-10得2分</w:t>
            </w:r>
          </w:p>
          <w:p w14:paraId="532275E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10-20得3分</w:t>
            </w:r>
          </w:p>
          <w:p w14:paraId="015367E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20-30得4分</w:t>
            </w:r>
          </w:p>
          <w:p w14:paraId="5665C56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30以上得5分</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E0CF95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每项数值上限不含本数，如：</w:t>
            </w:r>
            <w:r>
              <w:rPr>
                <w:rFonts w:hint="default" w:ascii="宋体" w:hAnsi="宋体" w:eastAsia="宋体" w:cs="宋体"/>
                <w:i w:val="0"/>
                <w:iCs w:val="0"/>
                <w:color w:val="000000"/>
                <w:kern w:val="0"/>
                <w:sz w:val="21"/>
                <w:szCs w:val="21"/>
                <w:u w:val="none"/>
                <w:lang w:val="en-US" w:eastAsia="zh-CN" w:bidi="ar"/>
              </w:rPr>
              <w:t>5-10</w:t>
            </w:r>
            <w:r>
              <w:rPr>
                <w:rFonts w:hint="eastAsia" w:ascii="宋体" w:hAnsi="宋体" w:eastAsia="宋体" w:cs="宋体"/>
                <w:i w:val="0"/>
                <w:iCs w:val="0"/>
                <w:color w:val="000000"/>
                <w:kern w:val="0"/>
                <w:sz w:val="21"/>
                <w:szCs w:val="21"/>
                <w:u w:val="none"/>
                <w:lang w:val="en-US" w:eastAsia="zh-CN" w:bidi="ar"/>
              </w:rPr>
              <w:t>，不含</w:t>
            </w:r>
            <w:r>
              <w:rPr>
                <w:rFonts w:hint="default" w:ascii="宋体" w:hAnsi="宋体" w:eastAsia="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w:t>
            </w:r>
            <w:r>
              <w:rPr>
                <w:rFonts w:hint="default" w:ascii="宋体" w:hAnsi="宋体" w:eastAsia="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以上，含</w:t>
            </w:r>
            <w:r>
              <w:rPr>
                <w:rFonts w:hint="default" w:ascii="宋体" w:hAnsi="宋体" w:eastAsia="宋体" w:cs="宋体"/>
                <w:i w:val="0"/>
                <w:iCs w:val="0"/>
                <w:color w:val="000000"/>
                <w:kern w:val="0"/>
                <w:sz w:val="21"/>
                <w:szCs w:val="21"/>
                <w:u w:val="none"/>
                <w:lang w:val="en-US" w:eastAsia="zh-CN" w:bidi="ar"/>
              </w:rPr>
              <w:t>30</w:t>
            </w:r>
          </w:p>
          <w:p w14:paraId="255C8D65">
            <w:pPr>
              <w:pStyle w:val="13"/>
              <w:rPr>
                <w:rFonts w:hint="default"/>
                <w:lang w:val="en-US" w:eastAsia="zh-CN"/>
              </w:rPr>
            </w:pPr>
            <w:r>
              <w:rPr>
                <w:rFonts w:hint="eastAsia" w:ascii="Times New Roman" w:cs="Times New Roman"/>
                <w:b/>
                <w:bCs/>
                <w:i w:val="0"/>
                <w:iCs w:val="0"/>
                <w:color w:val="000000"/>
                <w:kern w:val="0"/>
                <w:sz w:val="21"/>
                <w:szCs w:val="21"/>
                <w:u w:val="none"/>
                <w:lang w:val="en-US" w:eastAsia="zh-CN" w:bidi="ar"/>
              </w:rPr>
              <w:t>投标文件内提供相关证明资料，并注明数值</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B9D35F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i w:val="0"/>
                <w:iCs w:val="0"/>
                <w:color w:val="000000"/>
                <w:kern w:val="0"/>
                <w:sz w:val="21"/>
                <w:szCs w:val="21"/>
                <w:u w:val="none"/>
                <w:lang w:val="en-US" w:eastAsia="zh-CN" w:bidi="ar"/>
              </w:rPr>
            </w:pPr>
          </w:p>
        </w:tc>
      </w:tr>
      <w:tr w14:paraId="34133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9E970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kern w:val="0"/>
                <w:sz w:val="21"/>
                <w:szCs w:val="21"/>
                <w:u w:val="none"/>
                <w:lang w:val="en-US" w:eastAsia="zh-CN" w:bidi="ar"/>
              </w:rPr>
            </w:pP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594AA05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近三年（2022-2024年）对我市公益捐赠（万元）</w:t>
            </w:r>
          </w:p>
        </w:tc>
        <w:tc>
          <w:tcPr>
            <w:tcW w:w="701" w:type="dxa"/>
            <w:tcBorders>
              <w:top w:val="single" w:color="000000" w:sz="4" w:space="0"/>
              <w:left w:val="single" w:color="000000" w:sz="4" w:space="0"/>
              <w:bottom w:val="single" w:color="000000" w:sz="4" w:space="0"/>
              <w:right w:val="single" w:color="000000" w:sz="4" w:space="0"/>
            </w:tcBorders>
            <w:noWrap/>
            <w:vAlign w:val="center"/>
          </w:tcPr>
          <w:p w14:paraId="3268672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54C0F95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贡献优得5分</w:t>
            </w:r>
          </w:p>
          <w:p w14:paraId="112BE6D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贡献良得3分</w:t>
            </w:r>
          </w:p>
          <w:p w14:paraId="513CFB1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贡献一般得1分</w:t>
            </w:r>
          </w:p>
          <w:p w14:paraId="72C73A2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无不得分</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BC2A46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针对各投标人的提供的证明资料进行综合评审，</w:t>
            </w:r>
          </w:p>
          <w:p w14:paraId="097403E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指捐款、捐物等慈善活动，需提供相关证明资料</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66FFDC6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i w:val="0"/>
                <w:iCs w:val="0"/>
                <w:color w:val="000000"/>
                <w:kern w:val="0"/>
                <w:sz w:val="21"/>
                <w:szCs w:val="21"/>
                <w:u w:val="none"/>
                <w:lang w:val="en-US" w:eastAsia="zh-CN" w:bidi="ar"/>
              </w:rPr>
            </w:pPr>
          </w:p>
        </w:tc>
      </w:tr>
      <w:tr w14:paraId="1E8CA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6D508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kern w:val="0"/>
                <w:sz w:val="21"/>
                <w:szCs w:val="21"/>
                <w:u w:val="none"/>
                <w:lang w:val="en-US" w:eastAsia="zh-CN" w:bidi="ar"/>
              </w:rPr>
            </w:pP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6E4458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评分指标</w:t>
            </w:r>
          </w:p>
        </w:tc>
        <w:tc>
          <w:tcPr>
            <w:tcW w:w="701" w:type="dxa"/>
            <w:tcBorders>
              <w:top w:val="single" w:color="000000" w:sz="4" w:space="0"/>
              <w:left w:val="single" w:color="000000" w:sz="4" w:space="0"/>
              <w:bottom w:val="single" w:color="000000" w:sz="4" w:space="0"/>
              <w:right w:val="single" w:color="000000" w:sz="4" w:space="0"/>
            </w:tcBorders>
            <w:noWrap/>
            <w:vAlign w:val="center"/>
          </w:tcPr>
          <w:p w14:paraId="2B95CC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分值</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2CE0F66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Times New Roman"/>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评分细则</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2F6F86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备注</w:t>
            </w:r>
            <w:r>
              <w:rPr>
                <w:rFonts w:hint="eastAsia" w:ascii="宋体" w:hAnsi="宋体" w:cs="宋体"/>
                <w:b/>
                <w:bCs/>
                <w:i w:val="0"/>
                <w:iCs w:val="0"/>
                <w:color w:val="000000"/>
                <w:kern w:val="0"/>
                <w:sz w:val="21"/>
                <w:szCs w:val="21"/>
                <w:u w:val="none"/>
                <w:lang w:val="en-US" w:eastAsia="zh-CN" w:bidi="ar"/>
              </w:rPr>
              <w:t>说明</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D0E3AF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得分</w:t>
            </w:r>
          </w:p>
        </w:tc>
      </w:tr>
      <w:tr w14:paraId="6775E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767" w:type="dxa"/>
            <w:tcBorders>
              <w:top w:val="single" w:color="000000" w:sz="4" w:space="0"/>
              <w:left w:val="single" w:color="000000" w:sz="4" w:space="0"/>
              <w:bottom w:val="single" w:color="000000" w:sz="4" w:space="0"/>
              <w:right w:val="single" w:color="000000" w:sz="4" w:space="0"/>
            </w:tcBorders>
            <w:noWrap w:val="0"/>
            <w:vAlign w:val="center"/>
          </w:tcPr>
          <w:p w14:paraId="6A4F837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50E733D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近三年（2022-2024年）与我市政银合作</w:t>
            </w:r>
          </w:p>
        </w:tc>
        <w:tc>
          <w:tcPr>
            <w:tcW w:w="701" w:type="dxa"/>
            <w:tcBorders>
              <w:top w:val="single" w:color="000000" w:sz="4" w:space="0"/>
              <w:left w:val="single" w:color="000000" w:sz="4" w:space="0"/>
              <w:bottom w:val="single" w:color="000000" w:sz="4" w:space="0"/>
              <w:right w:val="single" w:color="000000" w:sz="4" w:space="0"/>
            </w:tcBorders>
            <w:noWrap/>
            <w:vAlign w:val="center"/>
          </w:tcPr>
          <w:p w14:paraId="49A0EC6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2D0F08E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优得3分</w:t>
            </w:r>
          </w:p>
          <w:p w14:paraId="20C8384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良得2分</w:t>
            </w:r>
          </w:p>
          <w:p w14:paraId="1293A67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一般得1分</w:t>
            </w:r>
          </w:p>
          <w:p w14:paraId="6DB1404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差或无得0分</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FAAACD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针对各投标人提供的相关证明资料进行综合评审</w:t>
            </w:r>
          </w:p>
          <w:p w14:paraId="5A26B4D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指党建加金融等切实推我市政务、服务民声相关工作，需提供相关证明资料，按照实际贡献评定。</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D4B20D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i w:val="0"/>
                <w:iCs w:val="0"/>
                <w:color w:val="000000"/>
                <w:kern w:val="0"/>
                <w:sz w:val="21"/>
                <w:szCs w:val="21"/>
                <w:u w:val="none"/>
                <w:lang w:val="en-US" w:eastAsia="zh-CN" w:bidi="ar"/>
              </w:rPr>
            </w:pPr>
          </w:p>
        </w:tc>
      </w:tr>
      <w:tr w14:paraId="5E0F5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1" w:hRule="atLeast"/>
          <w:jc w:val="center"/>
        </w:trPr>
        <w:tc>
          <w:tcPr>
            <w:tcW w:w="767" w:type="dxa"/>
            <w:vMerge w:val="restart"/>
            <w:tcBorders>
              <w:top w:val="single" w:color="000000" w:sz="4" w:space="0"/>
              <w:left w:val="single" w:color="000000" w:sz="4" w:space="0"/>
              <w:bottom w:val="single" w:color="000000" w:sz="4" w:space="0"/>
              <w:right w:val="single" w:color="000000" w:sz="4" w:space="0"/>
            </w:tcBorders>
            <w:noWrap w:val="0"/>
            <w:vAlign w:val="center"/>
          </w:tcPr>
          <w:p w14:paraId="3901B7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（四）服务能力指标（3</w:t>
            </w: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分）</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6991358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我市营业网点覆盖率（%）</w:t>
            </w:r>
          </w:p>
        </w:tc>
        <w:tc>
          <w:tcPr>
            <w:tcW w:w="701" w:type="dxa"/>
            <w:tcBorders>
              <w:top w:val="single" w:color="000000" w:sz="4" w:space="0"/>
              <w:left w:val="single" w:color="000000" w:sz="4" w:space="0"/>
              <w:bottom w:val="nil"/>
              <w:right w:val="single" w:color="000000" w:sz="4" w:space="0"/>
            </w:tcBorders>
            <w:noWrap/>
            <w:vAlign w:val="center"/>
          </w:tcPr>
          <w:p w14:paraId="220C5FE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955" w:type="dxa"/>
            <w:tcBorders>
              <w:top w:val="single" w:color="000000" w:sz="4" w:space="0"/>
              <w:left w:val="single" w:color="000000" w:sz="4" w:space="0"/>
              <w:right w:val="single" w:color="000000" w:sz="4" w:space="0"/>
            </w:tcBorders>
            <w:noWrap/>
            <w:vAlign w:val="center"/>
          </w:tcPr>
          <w:p w14:paraId="704DCA4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以下得</w:t>
            </w:r>
            <w:r>
              <w:rPr>
                <w:rFonts w:hint="default" w:ascii="Times New Roman" w:hAnsi="Times New Roman" w:eastAsia="宋体" w:cs="Times New Roman"/>
                <w:i w:val="0"/>
                <w:iCs w:val="0"/>
                <w:color w:val="000000"/>
                <w:kern w:val="0"/>
                <w:sz w:val="21"/>
                <w:szCs w:val="21"/>
                <w:u w:val="none"/>
                <w:lang w:val="en-US" w:eastAsia="zh-CN" w:bidi="ar"/>
              </w:rPr>
              <w:t>0.5</w:t>
            </w:r>
            <w:r>
              <w:rPr>
                <w:rFonts w:hint="eastAsia" w:ascii="宋体" w:hAnsi="宋体" w:eastAsia="宋体" w:cs="宋体"/>
                <w:i w:val="0"/>
                <w:iCs w:val="0"/>
                <w:color w:val="000000"/>
                <w:kern w:val="0"/>
                <w:sz w:val="21"/>
                <w:szCs w:val="21"/>
                <w:u w:val="none"/>
                <w:lang w:val="en-US" w:eastAsia="zh-CN" w:bidi="ar"/>
              </w:rPr>
              <w:t>分</w:t>
            </w:r>
          </w:p>
          <w:p w14:paraId="4A4C1E9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10-30</w:t>
            </w:r>
            <w:r>
              <w:rPr>
                <w:rFonts w:hint="eastAsia" w:ascii="宋体" w:hAnsi="宋体" w:eastAsia="宋体" w:cs="宋体"/>
                <w:i w:val="0"/>
                <w:iCs w:val="0"/>
                <w:color w:val="000000"/>
                <w:kern w:val="0"/>
                <w:sz w:val="21"/>
                <w:szCs w:val="21"/>
                <w:u w:val="none"/>
                <w:lang w:val="en-US" w:eastAsia="zh-CN" w:bidi="ar"/>
              </w:rPr>
              <w:t>得</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分</w:t>
            </w:r>
          </w:p>
          <w:p w14:paraId="1804E11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30-50</w:t>
            </w:r>
            <w:r>
              <w:rPr>
                <w:rFonts w:hint="eastAsia" w:ascii="宋体" w:hAnsi="宋体" w:eastAsia="宋体" w:cs="宋体"/>
                <w:i w:val="0"/>
                <w:iCs w:val="0"/>
                <w:color w:val="000000"/>
                <w:kern w:val="0"/>
                <w:sz w:val="21"/>
                <w:szCs w:val="21"/>
                <w:u w:val="none"/>
                <w:lang w:val="en-US" w:eastAsia="zh-CN" w:bidi="ar"/>
              </w:rPr>
              <w:t>得</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分</w:t>
            </w:r>
          </w:p>
          <w:p w14:paraId="7A42C64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50-70</w:t>
            </w:r>
            <w:r>
              <w:rPr>
                <w:rFonts w:hint="eastAsia" w:ascii="宋体" w:hAnsi="宋体" w:eastAsia="宋体" w:cs="宋体"/>
                <w:i w:val="0"/>
                <w:iCs w:val="0"/>
                <w:color w:val="000000"/>
                <w:kern w:val="0"/>
                <w:sz w:val="21"/>
                <w:szCs w:val="21"/>
                <w:u w:val="none"/>
                <w:lang w:val="en-US" w:eastAsia="zh-CN" w:bidi="ar"/>
              </w:rPr>
              <w:t>得</w:t>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分</w:t>
            </w:r>
          </w:p>
          <w:p w14:paraId="05F40B2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70-90</w:t>
            </w:r>
            <w:r>
              <w:rPr>
                <w:rFonts w:hint="eastAsia" w:ascii="宋体" w:hAnsi="宋体" w:eastAsia="宋体" w:cs="宋体"/>
                <w:i w:val="0"/>
                <w:iCs w:val="0"/>
                <w:color w:val="000000"/>
                <w:kern w:val="0"/>
                <w:sz w:val="21"/>
                <w:szCs w:val="21"/>
                <w:u w:val="none"/>
                <w:lang w:val="en-US" w:eastAsia="zh-CN" w:bidi="ar"/>
              </w:rPr>
              <w:t>得</w:t>
            </w:r>
            <w:r>
              <w:rPr>
                <w:rFonts w:hint="default" w:ascii="Times New Roman" w:hAnsi="Times New Roman" w:eastAsia="宋体" w:cs="Times New Roman"/>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分</w:t>
            </w:r>
          </w:p>
          <w:p w14:paraId="167E24E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90-100</w:t>
            </w:r>
            <w:r>
              <w:rPr>
                <w:rFonts w:hint="eastAsia" w:ascii="宋体" w:hAnsi="宋体" w:eastAsia="宋体" w:cs="宋体"/>
                <w:i w:val="0"/>
                <w:iCs w:val="0"/>
                <w:color w:val="000000"/>
                <w:kern w:val="0"/>
                <w:sz w:val="21"/>
                <w:szCs w:val="21"/>
                <w:u w:val="none"/>
                <w:lang w:val="en-US" w:eastAsia="zh-CN" w:bidi="ar"/>
              </w:rPr>
              <w:t>得</w:t>
            </w:r>
            <w:r>
              <w:rPr>
                <w:rFonts w:hint="default" w:ascii="Times New Roman" w:hAnsi="Times New Roman" w:eastAsia="宋体" w:cs="Times New Roman"/>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分</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4A6B49A0">
            <w:pPr>
              <w:keepNext w:val="0"/>
              <w:keepLines w:val="0"/>
              <w:pageBreakBefore w:val="0"/>
              <w:widowControl/>
              <w:numPr>
                <w:ilvl w:val="0"/>
                <w:numId w:val="4"/>
              </w:numPr>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指银行在市内各乡、镇、街网点覆盖程度。每个乡、镇、街至少有1个网点即视同覆盖率100%；</w:t>
            </w:r>
          </w:p>
          <w:p w14:paraId="3C86A5E9">
            <w:pPr>
              <w:keepNext w:val="0"/>
              <w:keepLines w:val="0"/>
              <w:pageBreakBefore w:val="0"/>
              <w:widowControl/>
              <w:numPr>
                <w:ilvl w:val="0"/>
                <w:numId w:val="4"/>
              </w:numPr>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各乡、镇、街有2个及以上网点的仍按照覆盖率100%计算，相互不顶替，覆盖率不叠加。</w:t>
            </w:r>
          </w:p>
          <w:p w14:paraId="309784FB">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提供营业网点营业执照复印件</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808A363">
            <w:pPr>
              <w:keepNext w:val="0"/>
              <w:keepLines w:val="0"/>
              <w:pageBreakBefore w:val="0"/>
              <w:widowControl/>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21"/>
                <w:szCs w:val="21"/>
                <w:u w:val="none"/>
              </w:rPr>
            </w:pPr>
          </w:p>
        </w:tc>
      </w:tr>
      <w:tr w14:paraId="3ED3B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67" w:type="dxa"/>
            <w:vMerge w:val="continue"/>
            <w:tcBorders>
              <w:top w:val="nil"/>
              <w:left w:val="single" w:color="000000" w:sz="4" w:space="0"/>
              <w:bottom w:val="single" w:color="000000" w:sz="4" w:space="0"/>
              <w:right w:val="single" w:color="000000" w:sz="4" w:space="0"/>
            </w:tcBorders>
            <w:noWrap w:val="0"/>
            <w:vAlign w:val="center"/>
          </w:tcPr>
          <w:p w14:paraId="4D6F9209">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1"/>
                <w:szCs w:val="21"/>
                <w:u w:val="none"/>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14:paraId="5C8D0A8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信息系统建设</w:t>
            </w:r>
          </w:p>
        </w:tc>
        <w:tc>
          <w:tcPr>
            <w:tcW w:w="701" w:type="dxa"/>
            <w:tcBorders>
              <w:top w:val="single" w:color="000000" w:sz="4" w:space="0"/>
              <w:left w:val="single" w:color="000000" w:sz="4" w:space="0"/>
              <w:bottom w:val="single" w:color="000000" w:sz="4" w:space="0"/>
              <w:right w:val="single" w:color="000000" w:sz="4" w:space="0"/>
            </w:tcBorders>
            <w:noWrap/>
            <w:vAlign w:val="center"/>
          </w:tcPr>
          <w:p w14:paraId="033B7BE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267ED1BC">
            <w:pPr>
              <w:keepNext w:val="0"/>
              <w:keepLines w:val="0"/>
              <w:pageBreakBefore w:val="0"/>
              <w:widowControl/>
              <w:kinsoku/>
              <w:wordWrap/>
              <w:overflowPunct/>
              <w:topLinePunct w:val="0"/>
              <w:autoSpaceDE/>
              <w:autoSpaceDN/>
              <w:bidi w:val="0"/>
              <w:adjustRightInd/>
              <w:snapToGrid/>
              <w:spacing w:line="0" w:lineRule="atLeast"/>
              <w:jc w:val="both"/>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优得2分</w:t>
            </w:r>
          </w:p>
          <w:p w14:paraId="71E6C476">
            <w:pPr>
              <w:keepNext w:val="0"/>
              <w:keepLines w:val="0"/>
              <w:pageBreakBefore w:val="0"/>
              <w:widowControl/>
              <w:kinsoku/>
              <w:wordWrap/>
              <w:overflowPunct/>
              <w:topLinePunct w:val="0"/>
              <w:autoSpaceDE/>
              <w:autoSpaceDN/>
              <w:bidi w:val="0"/>
              <w:adjustRightInd/>
              <w:snapToGrid/>
              <w:spacing w:line="0" w:lineRule="atLeast"/>
              <w:jc w:val="both"/>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良得1分</w:t>
            </w:r>
          </w:p>
          <w:p w14:paraId="2C86B2D7">
            <w:pPr>
              <w:keepNext w:val="0"/>
              <w:keepLines w:val="0"/>
              <w:pageBreakBefore w:val="0"/>
              <w:widowControl/>
              <w:kinsoku/>
              <w:wordWrap/>
              <w:overflowPunct/>
              <w:topLinePunct w:val="0"/>
              <w:autoSpaceDE/>
              <w:autoSpaceDN/>
              <w:bidi w:val="0"/>
              <w:adjustRightInd/>
              <w:snapToGrid/>
              <w:spacing w:line="0" w:lineRule="atLeast"/>
              <w:jc w:val="both"/>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一般得0.5分</w:t>
            </w:r>
          </w:p>
          <w:p w14:paraId="3ED58BA2">
            <w:pPr>
              <w:keepNext w:val="0"/>
              <w:keepLines w:val="0"/>
              <w:pageBreakBefore w:val="0"/>
              <w:widowControl/>
              <w:kinsoku/>
              <w:wordWrap/>
              <w:overflowPunct/>
              <w:topLinePunct w:val="0"/>
              <w:autoSpaceDE/>
              <w:autoSpaceDN/>
              <w:bidi w:val="0"/>
              <w:adjustRightInd/>
              <w:snapToGrid/>
              <w:spacing w:line="0" w:lineRule="atLeast"/>
              <w:jc w:val="both"/>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差或无得0分</w:t>
            </w:r>
          </w:p>
        </w:tc>
        <w:tc>
          <w:tcPr>
            <w:tcW w:w="4125" w:type="dxa"/>
            <w:tcBorders>
              <w:top w:val="single" w:color="000000" w:sz="4" w:space="0"/>
              <w:left w:val="single" w:color="000000" w:sz="4" w:space="0"/>
              <w:bottom w:val="single" w:color="000000" w:sz="4" w:space="0"/>
              <w:right w:val="single" w:color="000000" w:sz="4" w:space="0"/>
            </w:tcBorders>
            <w:noWrap/>
            <w:vAlign w:val="center"/>
          </w:tcPr>
          <w:p w14:paraId="41097BF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针对各投标人提供的信息系统建设方案进行综合评审</w:t>
            </w:r>
          </w:p>
          <w:p w14:paraId="7070B3F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i w:val="0"/>
                <w:iCs w:val="0"/>
                <w:color w:val="000000"/>
                <w:sz w:val="21"/>
                <w:szCs w:val="21"/>
                <w:u w:val="none"/>
                <w:lang w:val="en-US" w:eastAsia="zh-CN"/>
              </w:rPr>
            </w:pPr>
            <w:r>
              <w:rPr>
                <w:rFonts w:hint="eastAsia"/>
                <w:szCs w:val="22"/>
                <w:lang w:val="en-US" w:eastAsia="zh-CN"/>
              </w:rPr>
              <w:t>对资金汇划清算、信息反馈、</w:t>
            </w:r>
            <w:r>
              <w:rPr>
                <w:rFonts w:hint="eastAsia"/>
                <w:szCs w:val="22"/>
              </w:rPr>
              <w:t>维修资金信息系统的维护与支持，定期开展对系统软、硬件设备的升级、更新与维护，确保专户管理银行对系统维护的时时跟踪、技术支持</w:t>
            </w:r>
            <w:r>
              <w:rPr>
                <w:rFonts w:hint="eastAsia"/>
                <w:szCs w:val="22"/>
                <w:lang w:val="en-US" w:eastAsia="zh-CN"/>
              </w:rPr>
              <w:t>进行方案描述。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83B82BD">
            <w:pPr>
              <w:keepNext w:val="0"/>
              <w:keepLines w:val="0"/>
              <w:pageBreakBefore w:val="0"/>
              <w:widowControl/>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21"/>
                <w:szCs w:val="21"/>
                <w:u w:val="none"/>
              </w:rPr>
            </w:pPr>
          </w:p>
        </w:tc>
      </w:tr>
      <w:tr w14:paraId="2FD61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6" w:hRule="atLeast"/>
          <w:jc w:val="center"/>
        </w:trPr>
        <w:tc>
          <w:tcPr>
            <w:tcW w:w="767" w:type="dxa"/>
            <w:vMerge w:val="continue"/>
            <w:tcBorders>
              <w:top w:val="nil"/>
              <w:left w:val="single" w:color="000000" w:sz="4" w:space="0"/>
              <w:bottom w:val="single" w:color="000000" w:sz="4" w:space="0"/>
              <w:right w:val="single" w:color="000000" w:sz="4" w:space="0"/>
            </w:tcBorders>
            <w:noWrap w:val="0"/>
            <w:vAlign w:val="center"/>
          </w:tcPr>
          <w:p w14:paraId="0E4FCE3F">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1"/>
                <w:szCs w:val="21"/>
                <w:u w:val="none"/>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14:paraId="7D96AE2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对账服务</w:t>
            </w:r>
          </w:p>
        </w:tc>
        <w:tc>
          <w:tcPr>
            <w:tcW w:w="701" w:type="dxa"/>
            <w:tcBorders>
              <w:top w:val="single" w:color="000000" w:sz="4" w:space="0"/>
              <w:left w:val="single" w:color="000000" w:sz="4" w:space="0"/>
              <w:bottom w:val="single" w:color="000000" w:sz="4" w:space="0"/>
              <w:right w:val="single" w:color="000000" w:sz="4" w:space="0"/>
            </w:tcBorders>
            <w:noWrap/>
            <w:vAlign w:val="center"/>
          </w:tcPr>
          <w:p w14:paraId="3D443B8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955" w:type="dxa"/>
            <w:tcBorders>
              <w:top w:val="single" w:color="000000" w:sz="4" w:space="0"/>
              <w:left w:val="single" w:color="000000" w:sz="4" w:space="0"/>
              <w:right w:val="single" w:color="000000" w:sz="4" w:space="0"/>
            </w:tcBorders>
            <w:noWrap w:val="0"/>
            <w:vAlign w:val="center"/>
          </w:tcPr>
          <w:p w14:paraId="1F8CCF0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开户银行可按月向预算单位提供资金明细对账单和余额对账单，得</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分</w:t>
            </w:r>
          </w:p>
          <w:p w14:paraId="4AA8712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可与预算单位通过后台方式核对资金账，得</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分</w:t>
            </w:r>
          </w:p>
        </w:tc>
        <w:tc>
          <w:tcPr>
            <w:tcW w:w="4125" w:type="dxa"/>
            <w:tcBorders>
              <w:top w:val="single" w:color="000000" w:sz="4" w:space="0"/>
              <w:left w:val="single" w:color="000000" w:sz="4" w:space="0"/>
              <w:bottom w:val="single" w:color="000000" w:sz="4" w:space="0"/>
              <w:right w:val="single" w:color="000000" w:sz="4" w:space="0"/>
            </w:tcBorders>
            <w:noWrap/>
            <w:vAlign w:val="center"/>
          </w:tcPr>
          <w:p w14:paraId="6BCAB3E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在投标文件中提供相关承诺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ACBD0CD">
            <w:pPr>
              <w:keepNext w:val="0"/>
              <w:keepLines w:val="0"/>
              <w:pageBreakBefore w:val="0"/>
              <w:widowControl/>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21"/>
                <w:szCs w:val="21"/>
                <w:u w:val="none"/>
              </w:rPr>
            </w:pPr>
          </w:p>
        </w:tc>
      </w:tr>
      <w:tr w14:paraId="08640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jc w:val="center"/>
        </w:trPr>
        <w:tc>
          <w:tcPr>
            <w:tcW w:w="767"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730015DE">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1"/>
                <w:szCs w:val="21"/>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0384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上门服务</w:t>
            </w:r>
          </w:p>
        </w:tc>
        <w:tc>
          <w:tcPr>
            <w:tcW w:w="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CBE9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9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5BB81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可以上门办理对账及银行结算业务，得</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分</w:t>
            </w:r>
          </w:p>
        </w:tc>
        <w:tc>
          <w:tcPr>
            <w:tcW w:w="4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1B397">
            <w:pPr>
              <w:keepNext w:val="0"/>
              <w:keepLines w:val="0"/>
              <w:pageBreakBefore w:val="0"/>
              <w:widowControl/>
              <w:kinsoku/>
              <w:wordWrap/>
              <w:overflowPunct/>
              <w:topLinePunct w:val="0"/>
              <w:autoSpaceDE/>
              <w:autoSpaceDN/>
              <w:bidi w:val="0"/>
              <w:adjustRightInd/>
              <w:snapToGrid/>
              <w:spacing w:line="0" w:lineRule="atLeast"/>
              <w:jc w:val="both"/>
              <w:rPr>
                <w:rFonts w:hint="default" w:ascii="Times New Roman" w:hAnsi="Times New Roman" w:eastAsia="宋体" w:cs="Times New Roman"/>
                <w:b w:val="0"/>
                <w:bCs w:val="0"/>
                <w:i w:val="0"/>
                <w:iCs w:val="0"/>
                <w:color w:val="000000"/>
                <w:sz w:val="21"/>
                <w:szCs w:val="21"/>
                <w:u w:val="none"/>
                <w:lang w:val="en-US" w:eastAsia="zh-CN"/>
              </w:rPr>
            </w:pPr>
            <w:r>
              <w:rPr>
                <w:rFonts w:hint="eastAsia" w:ascii="Times New Roman" w:hAnsi="Times New Roman" w:eastAsia="宋体" w:cs="Times New Roman"/>
                <w:b w:val="0"/>
                <w:bCs w:val="0"/>
                <w:i w:val="0"/>
                <w:iCs w:val="0"/>
                <w:color w:val="000000"/>
                <w:sz w:val="21"/>
                <w:szCs w:val="21"/>
                <w:u w:val="none"/>
                <w:lang w:val="en-US" w:eastAsia="zh-CN"/>
              </w:rPr>
              <w:t>在投标文件中提供相关承诺</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EA637">
            <w:pPr>
              <w:keepNext w:val="0"/>
              <w:keepLines w:val="0"/>
              <w:pageBreakBefore w:val="0"/>
              <w:widowControl/>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21"/>
                <w:szCs w:val="21"/>
                <w:u w:val="none"/>
              </w:rPr>
            </w:pPr>
          </w:p>
        </w:tc>
      </w:tr>
      <w:tr w14:paraId="520B8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3" w:hRule="atLeast"/>
          <w:jc w:val="center"/>
        </w:trPr>
        <w:tc>
          <w:tcPr>
            <w:tcW w:w="767" w:type="dxa"/>
            <w:vMerge w:val="continue"/>
            <w:tcBorders>
              <w:top w:val="nil"/>
              <w:left w:val="single" w:color="000000" w:sz="4" w:space="0"/>
              <w:bottom w:val="single" w:color="000000" w:sz="4" w:space="0"/>
              <w:right w:val="single" w:color="000000" w:sz="4" w:space="0"/>
            </w:tcBorders>
            <w:noWrap w:val="0"/>
            <w:vAlign w:val="center"/>
          </w:tcPr>
          <w:p w14:paraId="3C6BFC96">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1"/>
                <w:szCs w:val="21"/>
                <w:u w:val="none"/>
              </w:rPr>
            </w:pP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78A7E33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对预算单位减免费用</w:t>
            </w:r>
          </w:p>
        </w:tc>
        <w:tc>
          <w:tcPr>
            <w:tcW w:w="701" w:type="dxa"/>
            <w:tcBorders>
              <w:top w:val="single" w:color="000000" w:sz="4" w:space="0"/>
              <w:left w:val="single" w:color="000000" w:sz="4" w:space="0"/>
              <w:bottom w:val="single" w:color="000000" w:sz="4" w:space="0"/>
              <w:right w:val="single" w:color="000000" w:sz="4" w:space="0"/>
            </w:tcBorders>
            <w:noWrap/>
            <w:vAlign w:val="center"/>
          </w:tcPr>
          <w:p w14:paraId="59EF4B8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955" w:type="dxa"/>
            <w:tcBorders>
              <w:top w:val="single" w:color="000000" w:sz="4" w:space="0"/>
              <w:left w:val="single" w:color="000000" w:sz="4" w:space="0"/>
              <w:right w:val="single" w:color="000000" w:sz="4" w:space="0"/>
            </w:tcBorders>
            <w:noWrap/>
            <w:vAlign w:val="center"/>
          </w:tcPr>
          <w:p w14:paraId="57BFCF7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减免</w:t>
            </w:r>
            <w:r>
              <w:rPr>
                <w:rFonts w:hint="default" w:ascii="Times New Roman" w:hAnsi="Times New Roman" w:eastAsia="宋体" w:cs="Times New Roman"/>
                <w:i w:val="0"/>
                <w:iCs w:val="0"/>
                <w:color w:val="000000"/>
                <w:kern w:val="0"/>
                <w:sz w:val="21"/>
                <w:szCs w:val="21"/>
                <w:u w:val="none"/>
                <w:lang w:val="en-US" w:eastAsia="zh-CN" w:bidi="ar"/>
              </w:rPr>
              <w:t xml:space="preserve"> 1</w:t>
            </w:r>
            <w:r>
              <w:rPr>
                <w:rFonts w:hint="eastAsia" w:ascii="宋体" w:hAnsi="宋体" w:eastAsia="宋体" w:cs="宋体"/>
                <w:i w:val="0"/>
                <w:iCs w:val="0"/>
                <w:color w:val="000000"/>
                <w:kern w:val="0"/>
                <w:sz w:val="21"/>
                <w:szCs w:val="21"/>
                <w:u w:val="none"/>
                <w:lang w:val="en-US" w:eastAsia="zh-CN" w:bidi="ar"/>
              </w:rPr>
              <w:t>项费用得</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分</w:t>
            </w:r>
          </w:p>
          <w:p w14:paraId="51D3B01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减免</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项费用得</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分</w:t>
            </w:r>
          </w:p>
          <w:p w14:paraId="4B42FBE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减免</w:t>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项及以上费用得</w:t>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分</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BA7064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对在该银行系统开户得所有预算单位账户减免相关费用</w:t>
            </w:r>
            <w:r>
              <w:rPr>
                <w:rFonts w:hint="eastAsia" w:ascii="宋体" w:hAnsi="宋体" w:cs="宋体"/>
                <w:i w:val="0"/>
                <w:iCs w:val="0"/>
                <w:color w:val="000000"/>
                <w:kern w:val="0"/>
                <w:sz w:val="21"/>
                <w:szCs w:val="21"/>
                <w:u w:val="none"/>
                <w:lang w:val="en-US" w:eastAsia="zh-CN" w:bidi="ar"/>
              </w:rPr>
              <w:t>，提供相关减免承诺</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101F87F">
            <w:pPr>
              <w:keepNext w:val="0"/>
              <w:keepLines w:val="0"/>
              <w:pageBreakBefore w:val="0"/>
              <w:widowControl/>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21"/>
                <w:szCs w:val="21"/>
                <w:u w:val="none"/>
              </w:rPr>
            </w:pPr>
          </w:p>
        </w:tc>
      </w:tr>
      <w:tr w14:paraId="79559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3" w:hRule="atLeast"/>
          <w:jc w:val="center"/>
        </w:trPr>
        <w:tc>
          <w:tcPr>
            <w:tcW w:w="767" w:type="dxa"/>
            <w:vMerge w:val="continue"/>
            <w:tcBorders>
              <w:top w:val="nil"/>
              <w:left w:val="single" w:color="000000" w:sz="4" w:space="0"/>
              <w:bottom w:val="single" w:color="000000" w:sz="4" w:space="0"/>
              <w:right w:val="single" w:color="000000" w:sz="4" w:space="0"/>
            </w:tcBorders>
            <w:noWrap w:val="0"/>
            <w:vAlign w:val="center"/>
          </w:tcPr>
          <w:p w14:paraId="484A400F">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1"/>
                <w:szCs w:val="21"/>
                <w:u w:val="none"/>
              </w:rPr>
            </w:pPr>
          </w:p>
        </w:tc>
        <w:tc>
          <w:tcPr>
            <w:tcW w:w="1909" w:type="dxa"/>
            <w:tcBorders>
              <w:top w:val="single" w:color="000000" w:sz="4" w:space="0"/>
              <w:left w:val="single" w:color="000000" w:sz="4" w:space="0"/>
              <w:bottom w:val="nil"/>
              <w:right w:val="single" w:color="000000" w:sz="4" w:space="0"/>
            </w:tcBorders>
            <w:noWrap w:val="0"/>
            <w:vAlign w:val="center"/>
          </w:tcPr>
          <w:p w14:paraId="31E5E19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近三年（2022-2024年）地方政府债服务偿付能力（地方政府债包含一般债和政府项目收益专项债）（万元）</w:t>
            </w:r>
          </w:p>
        </w:tc>
        <w:tc>
          <w:tcPr>
            <w:tcW w:w="701" w:type="dxa"/>
            <w:tcBorders>
              <w:top w:val="single" w:color="000000" w:sz="4" w:space="0"/>
              <w:left w:val="single" w:color="000000" w:sz="4" w:space="0"/>
              <w:bottom w:val="nil"/>
              <w:right w:val="single" w:color="000000" w:sz="4" w:space="0"/>
            </w:tcBorders>
            <w:noWrap/>
            <w:vAlign w:val="center"/>
          </w:tcPr>
          <w:p w14:paraId="0DCF09B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955" w:type="dxa"/>
            <w:tcBorders>
              <w:top w:val="single" w:color="000000" w:sz="4" w:space="0"/>
              <w:left w:val="single" w:color="000000" w:sz="4" w:space="0"/>
              <w:right w:val="single" w:color="000000" w:sz="4" w:space="0"/>
            </w:tcBorders>
            <w:noWrap/>
            <w:vAlign w:val="center"/>
          </w:tcPr>
          <w:p w14:paraId="2571583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付息金额</w:t>
            </w:r>
            <w:r>
              <w:rPr>
                <w:rFonts w:hint="default" w:ascii="Times New Roman" w:hAnsi="Times New Roman" w:eastAsia="宋体" w:cs="Times New Roman"/>
                <w:i w:val="0"/>
                <w:iCs w:val="0"/>
                <w:color w:val="000000"/>
                <w:kern w:val="0"/>
                <w:sz w:val="21"/>
                <w:szCs w:val="21"/>
                <w:u w:val="none"/>
                <w:lang w:val="en-US" w:eastAsia="zh-CN" w:bidi="ar"/>
              </w:rPr>
              <w:t>1000</w:t>
            </w:r>
            <w:r>
              <w:rPr>
                <w:rFonts w:hint="eastAsia" w:ascii="宋体" w:hAnsi="宋体" w:eastAsia="宋体" w:cs="宋体"/>
                <w:i w:val="0"/>
                <w:iCs w:val="0"/>
                <w:color w:val="000000"/>
                <w:kern w:val="0"/>
                <w:sz w:val="21"/>
                <w:szCs w:val="21"/>
                <w:u w:val="none"/>
                <w:lang w:val="en-US" w:eastAsia="zh-CN" w:bidi="ar"/>
              </w:rPr>
              <w:t>以下得</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分</w:t>
            </w:r>
          </w:p>
          <w:p w14:paraId="0FF80F1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付息金额</w:t>
            </w:r>
            <w:r>
              <w:rPr>
                <w:rFonts w:hint="default" w:ascii="Times New Roman" w:hAnsi="Times New Roman" w:eastAsia="宋体" w:cs="Times New Roman"/>
                <w:i w:val="0"/>
                <w:iCs w:val="0"/>
                <w:color w:val="000000"/>
                <w:kern w:val="0"/>
                <w:sz w:val="21"/>
                <w:szCs w:val="21"/>
                <w:u w:val="none"/>
                <w:lang w:val="en-US" w:eastAsia="zh-CN" w:bidi="ar"/>
              </w:rPr>
              <w:t>1000-5000</w:t>
            </w:r>
            <w:r>
              <w:rPr>
                <w:rFonts w:hint="eastAsia" w:ascii="宋体" w:hAnsi="宋体" w:eastAsia="宋体" w:cs="宋体"/>
                <w:i w:val="0"/>
                <w:iCs w:val="0"/>
                <w:color w:val="000000"/>
                <w:kern w:val="0"/>
                <w:sz w:val="21"/>
                <w:szCs w:val="21"/>
                <w:u w:val="none"/>
                <w:lang w:val="en-US" w:eastAsia="zh-CN" w:bidi="ar"/>
              </w:rPr>
              <w:t>得</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分</w:t>
            </w:r>
          </w:p>
          <w:p w14:paraId="0610860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付息金额</w:t>
            </w:r>
            <w:r>
              <w:rPr>
                <w:rFonts w:hint="default" w:ascii="Times New Roman" w:hAnsi="Times New Roman" w:eastAsia="宋体" w:cs="Times New Roman"/>
                <w:i w:val="0"/>
                <w:iCs w:val="0"/>
                <w:color w:val="000000"/>
                <w:kern w:val="0"/>
                <w:sz w:val="21"/>
                <w:szCs w:val="21"/>
                <w:u w:val="none"/>
                <w:lang w:val="en-US" w:eastAsia="zh-CN" w:bidi="ar"/>
              </w:rPr>
              <w:t>5000</w:t>
            </w:r>
            <w:r>
              <w:rPr>
                <w:rFonts w:hint="eastAsia" w:ascii="宋体" w:hAnsi="宋体" w:eastAsia="宋体" w:cs="宋体"/>
                <w:i w:val="0"/>
                <w:iCs w:val="0"/>
                <w:color w:val="000000"/>
                <w:kern w:val="0"/>
                <w:sz w:val="21"/>
                <w:szCs w:val="21"/>
                <w:u w:val="none"/>
                <w:lang w:val="en-US" w:eastAsia="zh-CN" w:bidi="ar"/>
              </w:rPr>
              <w:t>以上得</w:t>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分</w:t>
            </w:r>
          </w:p>
        </w:tc>
        <w:tc>
          <w:tcPr>
            <w:tcW w:w="4125" w:type="dxa"/>
            <w:tcBorders>
              <w:top w:val="single" w:color="000000" w:sz="4" w:space="0"/>
              <w:left w:val="single" w:color="000000" w:sz="4" w:space="0"/>
              <w:bottom w:val="nil"/>
              <w:right w:val="single" w:color="000000" w:sz="4" w:space="0"/>
            </w:tcBorders>
            <w:noWrap w:val="0"/>
            <w:vAlign w:val="center"/>
          </w:tcPr>
          <w:p w14:paraId="06BAC8DA">
            <w:pPr>
              <w:keepNext w:val="0"/>
              <w:keepLines w:val="0"/>
              <w:pageBreakBefore w:val="0"/>
              <w:widowControl/>
              <w:numPr>
                <w:ilvl w:val="0"/>
                <w:numId w:val="5"/>
              </w:numPr>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提供协议及付款扫描件；</w:t>
            </w:r>
          </w:p>
          <w:p w14:paraId="09D867EB">
            <w:pPr>
              <w:keepNext w:val="0"/>
              <w:keepLines w:val="0"/>
              <w:pageBreakBefore w:val="0"/>
              <w:widowControl/>
              <w:numPr>
                <w:ilvl w:val="0"/>
                <w:numId w:val="5"/>
              </w:numPr>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每项数值上限数不含本数，如：1000-5000，不含5000；5000以上：含5000</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C7768EB">
            <w:pPr>
              <w:keepNext w:val="0"/>
              <w:keepLines w:val="0"/>
              <w:pageBreakBefore w:val="0"/>
              <w:widowControl/>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21"/>
                <w:szCs w:val="21"/>
                <w:u w:val="none"/>
              </w:rPr>
            </w:pPr>
          </w:p>
        </w:tc>
      </w:tr>
      <w:tr w14:paraId="63D12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1" w:hRule="atLeast"/>
          <w:jc w:val="center"/>
        </w:trPr>
        <w:tc>
          <w:tcPr>
            <w:tcW w:w="767"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4AF79462">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1"/>
                <w:szCs w:val="21"/>
                <w:u w:val="none"/>
              </w:rPr>
            </w:pPr>
          </w:p>
        </w:tc>
        <w:tc>
          <w:tcPr>
            <w:tcW w:w="19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74429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近三年（2022-2024年）依法缴纳本市税收总额</w:t>
            </w:r>
          </w:p>
        </w:tc>
        <w:tc>
          <w:tcPr>
            <w:tcW w:w="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FB59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9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4343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纳税金额</w:t>
            </w:r>
            <w:r>
              <w:rPr>
                <w:rFonts w:hint="default" w:ascii="Times New Roman" w:hAnsi="Times New Roman" w:eastAsia="宋体" w:cs="Times New Roman"/>
                <w:i w:val="0"/>
                <w:iCs w:val="0"/>
                <w:color w:val="000000"/>
                <w:kern w:val="0"/>
                <w:sz w:val="21"/>
                <w:szCs w:val="21"/>
                <w:u w:val="none"/>
                <w:lang w:val="en-US" w:eastAsia="zh-CN" w:bidi="ar"/>
              </w:rPr>
              <w:t>1000</w:t>
            </w:r>
            <w:r>
              <w:rPr>
                <w:rFonts w:hint="eastAsia" w:ascii="宋体" w:hAnsi="宋体" w:eastAsia="宋体" w:cs="宋体"/>
                <w:i w:val="0"/>
                <w:iCs w:val="0"/>
                <w:color w:val="000000"/>
                <w:kern w:val="0"/>
                <w:sz w:val="21"/>
                <w:szCs w:val="21"/>
                <w:u w:val="none"/>
                <w:lang w:val="en-US" w:eastAsia="zh-CN" w:bidi="ar"/>
              </w:rPr>
              <w:t>以下得</w:t>
            </w:r>
            <w:r>
              <w:rPr>
                <w:rFonts w:hint="default" w:ascii="Times New Roman" w:hAnsi="Times New Roman" w:eastAsia="宋体" w:cs="Times New Roman"/>
                <w:i w:val="0"/>
                <w:iCs w:val="0"/>
                <w:color w:val="000000"/>
                <w:kern w:val="0"/>
                <w:sz w:val="21"/>
                <w:szCs w:val="21"/>
                <w:u w:val="none"/>
                <w:lang w:val="en-US" w:eastAsia="zh-CN" w:bidi="ar"/>
              </w:rPr>
              <w:t>0.5</w:t>
            </w:r>
            <w:r>
              <w:rPr>
                <w:rFonts w:hint="eastAsia" w:ascii="宋体" w:hAnsi="宋体" w:eastAsia="宋体" w:cs="宋体"/>
                <w:i w:val="0"/>
                <w:iCs w:val="0"/>
                <w:color w:val="000000"/>
                <w:kern w:val="0"/>
                <w:sz w:val="21"/>
                <w:szCs w:val="21"/>
                <w:u w:val="none"/>
                <w:lang w:val="en-US" w:eastAsia="zh-CN" w:bidi="ar"/>
              </w:rPr>
              <w:t>分</w:t>
            </w:r>
          </w:p>
          <w:p w14:paraId="31767C5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纳税金额</w:t>
            </w:r>
            <w:r>
              <w:rPr>
                <w:rFonts w:hint="default" w:ascii="Times New Roman" w:hAnsi="Times New Roman" w:eastAsia="宋体" w:cs="Times New Roman"/>
                <w:i w:val="0"/>
                <w:iCs w:val="0"/>
                <w:color w:val="000000"/>
                <w:kern w:val="0"/>
                <w:sz w:val="21"/>
                <w:szCs w:val="21"/>
                <w:u w:val="none"/>
                <w:lang w:val="en-US" w:eastAsia="zh-CN" w:bidi="ar"/>
              </w:rPr>
              <w:t>1000-3000</w:t>
            </w:r>
            <w:r>
              <w:rPr>
                <w:rFonts w:hint="eastAsia" w:ascii="宋体" w:hAnsi="宋体" w:eastAsia="宋体" w:cs="宋体"/>
                <w:i w:val="0"/>
                <w:iCs w:val="0"/>
                <w:color w:val="000000"/>
                <w:kern w:val="0"/>
                <w:sz w:val="21"/>
                <w:szCs w:val="21"/>
                <w:u w:val="none"/>
                <w:lang w:val="en-US" w:eastAsia="zh-CN" w:bidi="ar"/>
              </w:rPr>
              <w:t>得</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分</w:t>
            </w:r>
          </w:p>
          <w:p w14:paraId="5A7D409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纳税金额</w:t>
            </w:r>
            <w:r>
              <w:rPr>
                <w:rFonts w:hint="default" w:ascii="Times New Roman" w:hAnsi="Times New Roman" w:eastAsia="宋体" w:cs="Times New Roman"/>
                <w:i w:val="0"/>
                <w:iCs w:val="0"/>
                <w:color w:val="000000"/>
                <w:kern w:val="0"/>
                <w:sz w:val="21"/>
                <w:szCs w:val="21"/>
                <w:u w:val="none"/>
                <w:lang w:val="en-US" w:eastAsia="zh-CN" w:bidi="ar"/>
              </w:rPr>
              <w:t>3000-5000</w:t>
            </w:r>
            <w:r>
              <w:rPr>
                <w:rFonts w:hint="eastAsia" w:ascii="宋体" w:hAnsi="宋体" w:eastAsia="宋体" w:cs="宋体"/>
                <w:i w:val="0"/>
                <w:iCs w:val="0"/>
                <w:color w:val="000000"/>
                <w:kern w:val="0"/>
                <w:sz w:val="21"/>
                <w:szCs w:val="21"/>
                <w:u w:val="none"/>
                <w:lang w:val="en-US" w:eastAsia="zh-CN" w:bidi="ar"/>
              </w:rPr>
              <w:t>得</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分</w:t>
            </w:r>
          </w:p>
          <w:p w14:paraId="56F9831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纳税金额</w:t>
            </w:r>
            <w:r>
              <w:rPr>
                <w:rFonts w:hint="default" w:ascii="Times New Roman" w:hAnsi="Times New Roman" w:eastAsia="宋体" w:cs="Times New Roman"/>
                <w:i w:val="0"/>
                <w:iCs w:val="0"/>
                <w:color w:val="000000"/>
                <w:kern w:val="0"/>
                <w:sz w:val="21"/>
                <w:szCs w:val="21"/>
                <w:u w:val="none"/>
                <w:lang w:val="en-US" w:eastAsia="zh-CN" w:bidi="ar"/>
              </w:rPr>
              <w:t>5000-10000</w:t>
            </w:r>
            <w:r>
              <w:rPr>
                <w:rFonts w:hint="eastAsia" w:ascii="宋体" w:hAnsi="宋体" w:eastAsia="宋体" w:cs="宋体"/>
                <w:i w:val="0"/>
                <w:iCs w:val="0"/>
                <w:color w:val="000000"/>
                <w:kern w:val="0"/>
                <w:sz w:val="21"/>
                <w:szCs w:val="21"/>
                <w:u w:val="none"/>
                <w:lang w:val="en-US" w:eastAsia="zh-CN" w:bidi="ar"/>
              </w:rPr>
              <w:t>得</w:t>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分</w:t>
            </w:r>
          </w:p>
          <w:p w14:paraId="35FF65F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纳税金额</w:t>
            </w:r>
            <w:r>
              <w:rPr>
                <w:rFonts w:hint="default" w:ascii="Times New Roman" w:hAnsi="Times New Roman" w:eastAsia="宋体" w:cs="Times New Roman"/>
                <w:i w:val="0"/>
                <w:iCs w:val="0"/>
                <w:color w:val="000000"/>
                <w:kern w:val="0"/>
                <w:sz w:val="21"/>
                <w:szCs w:val="21"/>
                <w:u w:val="none"/>
                <w:lang w:val="en-US" w:eastAsia="zh-CN" w:bidi="ar"/>
              </w:rPr>
              <w:t>10000</w:t>
            </w:r>
            <w:r>
              <w:rPr>
                <w:rFonts w:hint="eastAsia" w:ascii="宋体" w:hAnsi="宋体" w:eastAsia="宋体" w:cs="宋体"/>
                <w:i w:val="0"/>
                <w:iCs w:val="0"/>
                <w:color w:val="000000"/>
                <w:kern w:val="0"/>
                <w:sz w:val="21"/>
                <w:szCs w:val="21"/>
                <w:u w:val="none"/>
                <w:lang w:val="en-US" w:eastAsia="zh-CN" w:bidi="ar"/>
              </w:rPr>
              <w:t>以上得</w:t>
            </w:r>
            <w:r>
              <w:rPr>
                <w:rFonts w:hint="default" w:ascii="Times New Roman" w:hAnsi="Times New Roman" w:eastAsia="宋体" w:cs="Times New Roman"/>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分</w:t>
            </w:r>
          </w:p>
        </w:tc>
        <w:tc>
          <w:tcPr>
            <w:tcW w:w="4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79706E">
            <w:pPr>
              <w:keepNext w:val="0"/>
              <w:keepLines w:val="0"/>
              <w:pageBreakBefore w:val="0"/>
              <w:widowControl/>
              <w:numPr>
                <w:ilvl w:val="0"/>
                <w:numId w:val="6"/>
              </w:numPr>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提供完税证明；</w:t>
            </w:r>
          </w:p>
          <w:p w14:paraId="694F0096">
            <w:pPr>
              <w:keepNext w:val="0"/>
              <w:keepLines w:val="0"/>
              <w:pageBreakBefore w:val="0"/>
              <w:widowControl/>
              <w:numPr>
                <w:ilvl w:val="0"/>
                <w:numId w:val="6"/>
              </w:numPr>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每项数值上限数不含本数，如：1000-3000，不含3000；10000以上：含10000</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789D1">
            <w:pPr>
              <w:keepNext w:val="0"/>
              <w:keepLines w:val="0"/>
              <w:pageBreakBefore w:val="0"/>
              <w:widowControl/>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21"/>
                <w:szCs w:val="21"/>
                <w:u w:val="none"/>
              </w:rPr>
            </w:pPr>
          </w:p>
        </w:tc>
      </w:tr>
      <w:tr w14:paraId="637A0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3C5BD7">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1"/>
                <w:szCs w:val="21"/>
                <w:u w:val="none"/>
              </w:rPr>
            </w:pP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0F13C0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评分指标</w:t>
            </w:r>
          </w:p>
        </w:tc>
        <w:tc>
          <w:tcPr>
            <w:tcW w:w="701" w:type="dxa"/>
            <w:tcBorders>
              <w:top w:val="single" w:color="000000" w:sz="4" w:space="0"/>
              <w:left w:val="single" w:color="000000" w:sz="4" w:space="0"/>
              <w:bottom w:val="single" w:color="000000" w:sz="4" w:space="0"/>
              <w:right w:val="single" w:color="000000" w:sz="4" w:space="0"/>
            </w:tcBorders>
            <w:noWrap/>
            <w:vAlign w:val="center"/>
          </w:tcPr>
          <w:p w14:paraId="3AC174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分值</w:t>
            </w:r>
          </w:p>
        </w:tc>
        <w:tc>
          <w:tcPr>
            <w:tcW w:w="1955" w:type="dxa"/>
            <w:tcBorders>
              <w:top w:val="single" w:color="000000" w:sz="4" w:space="0"/>
              <w:left w:val="single" w:color="000000" w:sz="4" w:space="0"/>
              <w:bottom w:val="single" w:color="000000" w:sz="4" w:space="0"/>
              <w:right w:val="single" w:color="000000" w:sz="4" w:space="0"/>
            </w:tcBorders>
            <w:noWrap/>
            <w:vAlign w:val="center"/>
          </w:tcPr>
          <w:p w14:paraId="0D3478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Times New Roman"/>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评分细则</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39BB8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备注</w:t>
            </w:r>
            <w:r>
              <w:rPr>
                <w:rFonts w:hint="eastAsia" w:ascii="宋体" w:hAnsi="宋体" w:cs="宋体"/>
                <w:b/>
                <w:bCs/>
                <w:i w:val="0"/>
                <w:iCs w:val="0"/>
                <w:color w:val="000000"/>
                <w:kern w:val="0"/>
                <w:sz w:val="21"/>
                <w:szCs w:val="21"/>
                <w:u w:val="none"/>
                <w:lang w:val="en-US" w:eastAsia="zh-CN" w:bidi="ar"/>
              </w:rPr>
              <w:t>说明</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6170E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得分</w:t>
            </w:r>
          </w:p>
        </w:tc>
      </w:tr>
      <w:tr w14:paraId="08D09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8" w:hRule="atLeast"/>
          <w:jc w:val="center"/>
        </w:trPr>
        <w:tc>
          <w:tcPr>
            <w:tcW w:w="767" w:type="dxa"/>
            <w:tcBorders>
              <w:top w:val="single" w:color="000000" w:sz="4" w:space="0"/>
              <w:left w:val="single" w:color="000000" w:sz="4" w:space="0"/>
              <w:right w:val="single" w:color="000000" w:sz="4" w:space="0"/>
            </w:tcBorders>
            <w:noWrap w:val="0"/>
            <w:vAlign w:val="center"/>
          </w:tcPr>
          <w:p w14:paraId="589045FE">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lang w:val="en-US" w:eastAsia="zh-CN"/>
              </w:rPr>
              <w:t>四</w:t>
            </w:r>
            <w:r>
              <w:rPr>
                <w:rFonts w:hint="eastAsia" w:ascii="宋体" w:hAnsi="宋体" w:eastAsia="宋体" w:cs="宋体"/>
                <w:i w:val="0"/>
                <w:iCs w:val="0"/>
                <w:color w:val="000000"/>
                <w:sz w:val="21"/>
                <w:szCs w:val="21"/>
                <w:u w:val="none"/>
                <w:lang w:eastAsia="zh-CN"/>
              </w:rPr>
              <w:t>）</w:t>
            </w:r>
          </w:p>
        </w:tc>
        <w:tc>
          <w:tcPr>
            <w:tcW w:w="1909" w:type="dxa"/>
            <w:tcBorders>
              <w:top w:val="single" w:color="000000" w:sz="4" w:space="0"/>
              <w:left w:val="single" w:color="000000" w:sz="4" w:space="0"/>
              <w:right w:val="single" w:color="000000" w:sz="4" w:space="0"/>
            </w:tcBorders>
            <w:noWrap w:val="0"/>
            <w:vAlign w:val="center"/>
          </w:tcPr>
          <w:p w14:paraId="219CB94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方案中所阐述内容</w:t>
            </w:r>
          </w:p>
        </w:tc>
        <w:tc>
          <w:tcPr>
            <w:tcW w:w="701" w:type="dxa"/>
            <w:tcBorders>
              <w:top w:val="single" w:color="000000" w:sz="4" w:space="0"/>
              <w:left w:val="single" w:color="000000" w:sz="4" w:space="0"/>
              <w:right w:val="single" w:color="000000" w:sz="4" w:space="0"/>
            </w:tcBorders>
            <w:noWrap/>
            <w:vAlign w:val="center"/>
          </w:tcPr>
          <w:p w14:paraId="689EF8D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955" w:type="dxa"/>
            <w:tcBorders>
              <w:top w:val="single" w:color="000000" w:sz="4" w:space="0"/>
              <w:left w:val="single" w:color="000000" w:sz="4" w:space="0"/>
              <w:right w:val="single" w:color="000000" w:sz="4" w:space="0"/>
            </w:tcBorders>
            <w:noWrap w:val="0"/>
            <w:vAlign w:val="center"/>
          </w:tcPr>
          <w:p w14:paraId="0335136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方案详细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完整</w:t>
            </w:r>
            <w:r>
              <w:rPr>
                <w:rFonts w:hint="eastAsia" w:ascii="宋体" w:hAnsi="宋体" w:eastAsia="宋体" w:cs="宋体"/>
                <w:sz w:val="21"/>
                <w:szCs w:val="21"/>
                <w:highlight w:val="none"/>
              </w:rPr>
              <w:t>的得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14:paraId="7EB2BAA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方案</w:t>
            </w:r>
            <w:r>
              <w:rPr>
                <w:rFonts w:hint="eastAsia" w:ascii="宋体" w:hAnsi="宋体" w:eastAsia="宋体" w:cs="宋体"/>
                <w:sz w:val="21"/>
                <w:szCs w:val="21"/>
                <w:highlight w:val="none"/>
                <w:lang w:val="en-US" w:eastAsia="zh-CN"/>
              </w:rPr>
              <w:t>良好、可行的得7</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14:paraId="07B9086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方案较好者得4分；</w:t>
            </w:r>
          </w:p>
          <w:p w14:paraId="4BA9D2F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一般者得2分；</w:t>
            </w:r>
          </w:p>
          <w:p w14:paraId="02FE2B0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sz w:val="21"/>
                <w:szCs w:val="21"/>
                <w:highlight w:val="none"/>
              </w:rPr>
              <w:t>粗略</w:t>
            </w:r>
            <w:r>
              <w:rPr>
                <w:rFonts w:hint="eastAsia" w:ascii="宋体" w:hAnsi="宋体" w:eastAsia="宋体" w:cs="宋体"/>
                <w:sz w:val="21"/>
                <w:szCs w:val="21"/>
                <w:highlight w:val="none"/>
                <w:lang w:eastAsia="zh-CN"/>
              </w:rPr>
              <w:t>或</w:t>
            </w:r>
            <w:r>
              <w:rPr>
                <w:rFonts w:hint="eastAsia" w:ascii="宋体" w:hAnsi="宋体" w:eastAsia="宋体" w:cs="宋体"/>
                <w:sz w:val="21"/>
                <w:szCs w:val="21"/>
                <w:highlight w:val="none"/>
              </w:rPr>
              <w:t>没有内容不得分。</w:t>
            </w:r>
          </w:p>
        </w:tc>
        <w:tc>
          <w:tcPr>
            <w:tcW w:w="4125" w:type="dxa"/>
            <w:tcBorders>
              <w:top w:val="single" w:color="000000" w:sz="4" w:space="0"/>
              <w:left w:val="single" w:color="000000" w:sz="4" w:space="0"/>
              <w:right w:val="single" w:color="000000" w:sz="4" w:space="0"/>
            </w:tcBorders>
            <w:noWrap/>
            <w:vAlign w:val="center"/>
          </w:tcPr>
          <w:p w14:paraId="703A5E05">
            <w:pPr>
              <w:pStyle w:val="17"/>
              <w:numPr>
                <w:ilvl w:val="0"/>
                <w:numId w:val="0"/>
              </w:numPr>
              <w:jc w:val="both"/>
              <w:rPr>
                <w:rStyle w:val="12"/>
                <w:rFonts w:hint="eastAsia" w:ascii="宋体" w:hAnsi="宋体" w:eastAsia="宋体" w:cs="宋体"/>
                <w:b w:val="0"/>
                <w:spacing w:val="0"/>
                <w:sz w:val="21"/>
                <w:szCs w:val="21"/>
                <w:highlight w:val="none"/>
              </w:rPr>
            </w:pPr>
            <w:r>
              <w:rPr>
                <w:rStyle w:val="12"/>
                <w:rFonts w:hint="eastAsia" w:ascii="宋体" w:hAnsi="宋体" w:eastAsia="宋体" w:cs="宋体"/>
                <w:b w:val="0"/>
                <w:spacing w:val="0"/>
                <w:sz w:val="21"/>
                <w:szCs w:val="21"/>
                <w:highlight w:val="none"/>
              </w:rPr>
              <w:t>针对各投标人的方案进行综合评审：</w:t>
            </w:r>
          </w:p>
          <w:p w14:paraId="26491E55">
            <w:pPr>
              <w:pStyle w:val="17"/>
              <w:numPr>
                <w:ilvl w:val="0"/>
                <w:numId w:val="0"/>
              </w:numPr>
              <w:jc w:val="both"/>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投标人须根据招标文件中要求的方案五项内容进行文字形阐述。</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269F97F">
            <w:pPr>
              <w:keepNext w:val="0"/>
              <w:keepLines w:val="0"/>
              <w:pageBreakBefore w:val="0"/>
              <w:widowControl/>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21"/>
                <w:szCs w:val="21"/>
                <w:u w:val="none"/>
              </w:rPr>
            </w:pPr>
          </w:p>
        </w:tc>
      </w:tr>
      <w:tr w14:paraId="0FD4A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10199" w:type="dxa"/>
            <w:gridSpan w:val="6"/>
            <w:tcBorders>
              <w:top w:val="single" w:color="000000" w:sz="4" w:space="0"/>
              <w:left w:val="nil"/>
              <w:bottom w:val="nil"/>
              <w:right w:val="nil"/>
            </w:tcBorders>
            <w:noWrap/>
            <w:vAlign w:val="center"/>
          </w:tcPr>
          <w:p w14:paraId="004C5A2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b/>
                <w:bCs/>
                <w:i w:val="0"/>
                <w:iCs w:val="0"/>
                <w:color w:val="FF0000"/>
                <w:kern w:val="0"/>
                <w:sz w:val="21"/>
                <w:szCs w:val="21"/>
                <w:u w:val="none"/>
                <w:lang w:val="en-US" w:eastAsia="zh-CN" w:bidi="ar"/>
              </w:rPr>
              <w:t>注：上述指标统计范围指项目所在地区域（即榆树市及下辖乡镇）营业机构汇总数据。</w:t>
            </w:r>
          </w:p>
        </w:tc>
      </w:tr>
    </w:tbl>
    <w:p w14:paraId="0CCB009B">
      <w:pPr>
        <w:tabs>
          <w:tab w:val="left" w:pos="425"/>
        </w:tabs>
        <w:spacing w:line="0" w:lineRule="atLeast"/>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   上述各项评审内容各投标人应在投标文件中自行编制目录便于查询。</w:t>
      </w:r>
    </w:p>
    <w:p w14:paraId="40A02C36">
      <w:pPr>
        <w:tabs>
          <w:tab w:val="left" w:pos="425"/>
        </w:tabs>
        <w:spacing w:line="0" w:lineRule="atLeast"/>
        <w:ind w:firstLine="420" w:firstLineChars="200"/>
        <w:jc w:val="left"/>
        <w:rPr>
          <w:rFonts w:ascii="宋体" w:hAnsi="宋体" w:cs="宋体"/>
          <w:sz w:val="21"/>
          <w:szCs w:val="21"/>
        </w:rPr>
      </w:pPr>
      <w:r>
        <w:rPr>
          <w:rFonts w:hint="eastAsia" w:ascii="宋体" w:hAnsi="宋体" w:cs="宋体"/>
          <w:sz w:val="21"/>
          <w:szCs w:val="21"/>
        </w:rPr>
        <w:t>对各项评分进行汇总，将</w:t>
      </w:r>
      <w:r>
        <w:rPr>
          <w:rFonts w:hint="eastAsia" w:ascii="宋体" w:hAnsi="宋体" w:cs="宋体"/>
          <w:sz w:val="21"/>
          <w:szCs w:val="21"/>
          <w:lang w:val="en-US" w:eastAsia="zh-CN"/>
        </w:rPr>
        <w:t>5</w:t>
      </w:r>
      <w:r>
        <w:rPr>
          <w:rFonts w:hint="eastAsia" w:ascii="宋体" w:hAnsi="宋体" w:cs="宋体"/>
          <w:sz w:val="21"/>
          <w:szCs w:val="21"/>
        </w:rPr>
        <w:t>个评委的打分进行汇总后的平均值“综合评分排序表”，按评分从高到低进行排序推荐前</w:t>
      </w:r>
      <w:r>
        <w:rPr>
          <w:rFonts w:hint="eastAsia" w:ascii="宋体" w:hAnsi="宋体" w:cs="宋体"/>
          <w:sz w:val="21"/>
          <w:szCs w:val="21"/>
          <w:lang w:val="en-US" w:eastAsia="zh-CN"/>
        </w:rPr>
        <w:t>3</w:t>
      </w:r>
      <w:r>
        <w:rPr>
          <w:rFonts w:hint="eastAsia" w:ascii="宋体" w:hAnsi="宋体" w:cs="宋体"/>
          <w:sz w:val="21"/>
          <w:szCs w:val="21"/>
        </w:rPr>
        <w:t>名中标选人。</w:t>
      </w:r>
    </w:p>
    <w:p w14:paraId="6070AF85">
      <w:pPr>
        <w:keepNext w:val="0"/>
        <w:keepLines w:val="0"/>
        <w:pageBreakBefore w:val="0"/>
        <w:widowControl w:val="0"/>
        <w:kinsoku/>
        <w:overflowPunct/>
        <w:autoSpaceDE/>
        <w:autoSpaceDN/>
        <w:bidi w:val="0"/>
        <w:adjustRightInd/>
        <w:snapToGrid/>
        <w:spacing w:line="360" w:lineRule="auto"/>
        <w:ind w:left="0" w:leftChars="0" w:right="0" w:rightChars="0" w:firstLine="0" w:firstLineChars="0"/>
        <w:textAlignment w:val="auto"/>
        <w:rPr>
          <w:rFonts w:ascii="宋体" w:hAnsi="宋体" w:eastAsia="宋体" w:cs="宋体"/>
          <w:b/>
          <w:color w:val="auto"/>
          <w:sz w:val="24"/>
        </w:rPr>
        <w:sectPr>
          <w:footerReference r:id="rId3" w:type="default"/>
          <w:pgSz w:w="11907" w:h="16839"/>
          <w:pgMar w:top="1113" w:right="1010" w:bottom="1132" w:left="1010" w:header="0" w:footer="986" w:gutter="0"/>
          <w:pgNumType w:fmt="decimal"/>
          <w:cols w:space="720" w:num="1"/>
        </w:sectPr>
      </w:pPr>
      <w:r>
        <w:rPr>
          <w:rFonts w:hint="eastAsia" w:ascii="宋体" w:hAnsi="宋体" w:cs="宋体"/>
          <w:sz w:val="21"/>
          <w:szCs w:val="21"/>
        </w:rPr>
        <w:t xml:space="preserve">          按本办法评审，以最终得分最高者为推荐的中标候选人；投标人得分出现绝对值相等时，按方案部分高分优先的原则推荐中标投标人；如得分相等则由评标委员会决议以有利招标人的原则推荐中标候选人。 </w:t>
      </w:r>
    </w:p>
    <w:p w14:paraId="67146DE2">
      <w:pPr>
        <w:jc w:val="both"/>
        <w:outlineLvl w:val="0"/>
        <w:rPr>
          <w:rFonts w:hint="default" w:eastAsia="宋体" w:cs="Times New Roman"/>
          <w:lang w:val="en-US" w:eastAsia="zh-CN"/>
        </w:rPr>
      </w:pPr>
      <w:r>
        <w:rPr>
          <w:rFonts w:hint="eastAsia"/>
          <w:lang w:val="en-US" w:eastAsia="zh-CN"/>
        </w:rPr>
        <w:t>附表</w:t>
      </w:r>
      <w:r>
        <w:rPr>
          <w:rFonts w:hint="eastAsia" w:eastAsia="宋体" w:cs="Times New Roman"/>
          <w:lang w:val="en-US" w:eastAsia="zh-CN"/>
        </w:rPr>
        <w:t>： 招标人提供的相关要求</w:t>
      </w:r>
    </w:p>
    <w:p w14:paraId="1C01028B">
      <w:pPr>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银行服务业务相关要求</w:t>
      </w:r>
    </w:p>
    <w:p w14:paraId="51CA9575">
      <w:pPr>
        <w:pStyle w:val="3"/>
        <w:widowControl w:val="0"/>
        <w:spacing w:line="360" w:lineRule="auto"/>
        <w:ind w:left="1896" w:leftChars="200" w:hanging="1476" w:hangingChars="700"/>
        <w:jc w:val="both"/>
        <w:rPr>
          <w:rFonts w:ascii="宋体" w:hAnsi="宋体" w:cs="宋体"/>
          <w:bCs/>
          <w:color w:val="000000"/>
          <w:sz w:val="21"/>
          <w:szCs w:val="21"/>
          <w:highlight w:val="none"/>
        </w:rPr>
      </w:pPr>
      <w:r>
        <w:rPr>
          <w:rFonts w:hint="eastAsia" w:ascii="宋体" w:hAnsi="宋体" w:cs="宋体"/>
          <w:b/>
          <w:color w:val="000000"/>
          <w:sz w:val="21"/>
          <w:szCs w:val="21"/>
          <w:highlight w:val="none"/>
        </w:rPr>
        <w:t>一、项目名称：</w:t>
      </w:r>
      <w:r>
        <w:rPr>
          <w:rFonts w:hint="eastAsia" w:ascii="宋体" w:hAnsi="宋体" w:cs="宋体"/>
          <w:sz w:val="21"/>
          <w:szCs w:val="21"/>
          <w:highlight w:val="none"/>
          <w:lang w:eastAsia="zh-CN"/>
        </w:rPr>
        <w:t>榆树市</w:t>
      </w:r>
      <w:r>
        <w:rPr>
          <w:rFonts w:hint="eastAsia" w:ascii="宋体" w:hAnsi="宋体" w:cs="宋体"/>
          <w:sz w:val="21"/>
          <w:szCs w:val="21"/>
          <w:highlight w:val="none"/>
        </w:rPr>
        <w:t>物业管理办公室房屋维修资金存放银行选择</w:t>
      </w:r>
    </w:p>
    <w:p w14:paraId="6F9198B9">
      <w:pPr>
        <w:pStyle w:val="3"/>
        <w:widowControl w:val="0"/>
        <w:spacing w:line="360" w:lineRule="auto"/>
        <w:jc w:val="both"/>
        <w:rPr>
          <w:rFonts w:ascii="宋体" w:hAnsi="宋体" w:cs="宋体"/>
          <w:b/>
          <w:color w:val="000000"/>
          <w:sz w:val="21"/>
          <w:szCs w:val="21"/>
          <w:highlight w:val="none"/>
        </w:rPr>
      </w:pPr>
      <w:r>
        <w:rPr>
          <w:rFonts w:hint="eastAsia" w:ascii="宋体" w:hAnsi="宋体" w:cs="宋体"/>
          <w:b/>
          <w:color w:val="000000"/>
          <w:sz w:val="21"/>
          <w:szCs w:val="21"/>
          <w:highlight w:val="none"/>
        </w:rPr>
        <w:t>二、服务范围</w:t>
      </w:r>
    </w:p>
    <w:p w14:paraId="34F48767">
      <w:pPr>
        <w:pStyle w:val="3"/>
        <w:widowControl w:val="0"/>
        <w:spacing w:line="360" w:lineRule="auto"/>
        <w:ind w:firstLine="688" w:firstLineChars="328"/>
        <w:jc w:val="both"/>
        <w:rPr>
          <w:rFonts w:ascii="宋体" w:hAnsi="宋体" w:cs="宋体"/>
          <w:color w:val="000000"/>
          <w:sz w:val="21"/>
          <w:szCs w:val="21"/>
          <w:highlight w:val="none"/>
        </w:rPr>
      </w:pPr>
      <w:r>
        <w:rPr>
          <w:rFonts w:hint="eastAsia" w:ascii="宋体" w:hAnsi="宋体" w:cs="宋体"/>
          <w:color w:val="000000"/>
          <w:sz w:val="21"/>
          <w:szCs w:val="21"/>
          <w:highlight w:val="none"/>
        </w:rPr>
        <w:t>服务内容：资金存放应当确保资金安全性、经营状况、服务水平、利率水平、贡献程度等方面考虑。</w:t>
      </w:r>
    </w:p>
    <w:p w14:paraId="7ED7F1DF">
      <w:pPr>
        <w:spacing w:line="360" w:lineRule="auto"/>
        <w:ind w:firstLine="421"/>
        <w:rPr>
          <w:rFonts w:ascii="宋体" w:hAnsi="宋体" w:cs="宋体"/>
          <w:b/>
          <w:color w:val="000000"/>
          <w:szCs w:val="21"/>
          <w:highlight w:val="none"/>
        </w:rPr>
      </w:pPr>
      <w:bookmarkStart w:id="0" w:name="_Toc399761065"/>
      <w:r>
        <w:rPr>
          <w:rFonts w:hint="eastAsia" w:ascii="宋体" w:hAnsi="宋体" w:cs="宋体"/>
          <w:bCs/>
          <w:color w:val="000000"/>
          <w:szCs w:val="21"/>
          <w:highlight w:val="none"/>
        </w:rPr>
        <w:t>1</w:t>
      </w:r>
      <w:r>
        <w:rPr>
          <w:rFonts w:hint="eastAsia" w:ascii="宋体" w:hAnsi="宋体" w:cs="宋体"/>
          <w:b/>
          <w:color w:val="000000"/>
          <w:szCs w:val="21"/>
          <w:highlight w:val="none"/>
        </w:rPr>
        <w:t>、</w:t>
      </w:r>
      <w:bookmarkEnd w:id="0"/>
      <w:r>
        <w:rPr>
          <w:rFonts w:hint="eastAsia" w:ascii="宋体" w:hAnsi="宋体" w:cs="宋体"/>
          <w:b/>
          <w:color w:val="000000"/>
          <w:szCs w:val="21"/>
          <w:highlight w:val="none"/>
        </w:rPr>
        <w:t>安全性方面指标：</w:t>
      </w:r>
    </w:p>
    <w:p w14:paraId="1D4274A3">
      <w:pPr>
        <w:pStyle w:val="13"/>
        <w:spacing w:line="360" w:lineRule="auto"/>
        <w:ind w:firstLine="421"/>
        <w:rPr>
          <w:rFonts w:hAnsi="宋体"/>
          <w:sz w:val="21"/>
          <w:szCs w:val="21"/>
          <w:highlight w:val="none"/>
        </w:rPr>
      </w:pPr>
      <w:r>
        <w:rPr>
          <w:rFonts w:hint="eastAsia" w:hAnsi="宋体"/>
          <w:sz w:val="21"/>
          <w:szCs w:val="21"/>
          <w:highlight w:val="none"/>
        </w:rPr>
        <w:t>①资本充足率；</w:t>
      </w:r>
    </w:p>
    <w:p w14:paraId="22B0C838">
      <w:pPr>
        <w:pStyle w:val="7"/>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②不良贷款率；</w:t>
      </w:r>
    </w:p>
    <w:p w14:paraId="78756D12">
      <w:pPr>
        <w:pStyle w:val="7"/>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③拨备覆盖率；</w:t>
      </w:r>
    </w:p>
    <w:p w14:paraId="0FC04BF9">
      <w:pPr>
        <w:pStyle w:val="7"/>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④流动性比例。</w:t>
      </w:r>
    </w:p>
    <w:p w14:paraId="64EDA449">
      <w:pPr>
        <w:spacing w:line="360" w:lineRule="auto"/>
        <w:ind w:firstLine="422" w:firstLineChars="200"/>
        <w:rPr>
          <w:rFonts w:ascii="宋体" w:hAnsi="宋体" w:cs="宋体"/>
          <w:color w:val="000000"/>
          <w:szCs w:val="21"/>
          <w:highlight w:val="none"/>
        </w:rPr>
      </w:pPr>
      <w:r>
        <w:rPr>
          <w:rFonts w:hint="eastAsia" w:ascii="宋体" w:hAnsi="宋体" w:cs="宋体"/>
          <w:b/>
          <w:bCs/>
          <w:color w:val="000000"/>
          <w:szCs w:val="21"/>
          <w:highlight w:val="none"/>
        </w:rPr>
        <w:t>2</w:t>
      </w:r>
      <w:r>
        <w:rPr>
          <w:rFonts w:hint="eastAsia" w:ascii="宋体" w:hAnsi="宋体" w:cs="宋体"/>
          <w:color w:val="000000"/>
          <w:szCs w:val="21"/>
          <w:highlight w:val="none"/>
        </w:rPr>
        <w:t>、</w:t>
      </w:r>
      <w:r>
        <w:rPr>
          <w:rFonts w:hint="eastAsia" w:ascii="宋体" w:hAnsi="宋体" w:cs="宋体"/>
          <w:b/>
          <w:color w:val="000000"/>
          <w:szCs w:val="21"/>
          <w:highlight w:val="none"/>
        </w:rPr>
        <w:t>经营状况</w:t>
      </w:r>
      <w:r>
        <w:rPr>
          <w:rFonts w:hint="eastAsia" w:ascii="宋体" w:hAnsi="宋体" w:cs="宋体"/>
          <w:color w:val="000000"/>
          <w:szCs w:val="21"/>
          <w:highlight w:val="none"/>
        </w:rPr>
        <w:t>：</w:t>
      </w:r>
    </w:p>
    <w:p w14:paraId="6B041C9F">
      <w:pPr>
        <w:pStyle w:val="13"/>
        <w:spacing w:line="360" w:lineRule="auto"/>
        <w:ind w:firstLine="421"/>
        <w:rPr>
          <w:rFonts w:hAnsi="宋体"/>
          <w:sz w:val="21"/>
          <w:szCs w:val="21"/>
          <w:highlight w:val="none"/>
        </w:rPr>
      </w:pPr>
      <w:r>
        <w:rPr>
          <w:rFonts w:hint="eastAsia" w:hAnsi="宋体"/>
          <w:sz w:val="21"/>
          <w:szCs w:val="21"/>
          <w:highlight w:val="none"/>
        </w:rPr>
        <w:t>①资金存放的资产质量；</w:t>
      </w:r>
    </w:p>
    <w:p w14:paraId="177B0C0C">
      <w:pPr>
        <w:pStyle w:val="7"/>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②偿付能力；</w:t>
      </w:r>
    </w:p>
    <w:p w14:paraId="64813BC5">
      <w:pPr>
        <w:pStyle w:val="7"/>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③内部控制水平。</w:t>
      </w:r>
    </w:p>
    <w:p w14:paraId="3F068F83">
      <w:pPr>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3、服务水平：</w:t>
      </w:r>
    </w:p>
    <w:p w14:paraId="04A0C4BF">
      <w:pPr>
        <w:pStyle w:val="13"/>
        <w:spacing w:line="360" w:lineRule="auto"/>
        <w:ind w:firstLine="421"/>
        <w:rPr>
          <w:rFonts w:hAnsi="宋体"/>
          <w:sz w:val="21"/>
          <w:szCs w:val="21"/>
          <w:highlight w:val="none"/>
        </w:rPr>
      </w:pPr>
      <w:r>
        <w:rPr>
          <w:rFonts w:hint="eastAsia" w:hAnsi="宋体"/>
          <w:sz w:val="21"/>
          <w:szCs w:val="21"/>
          <w:highlight w:val="none"/>
        </w:rPr>
        <w:t>①支付结算；</w:t>
      </w:r>
    </w:p>
    <w:p w14:paraId="690C124B">
      <w:pPr>
        <w:pStyle w:val="7"/>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②对账；</w:t>
      </w:r>
    </w:p>
    <w:p w14:paraId="5F856786">
      <w:pPr>
        <w:pStyle w:val="7"/>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③分账核算服务的能力和水平。</w:t>
      </w:r>
    </w:p>
    <w:p w14:paraId="5D24A9BB">
      <w:pPr>
        <w:numPr>
          <w:ilvl w:val="0"/>
          <w:numId w:val="7"/>
        </w:numPr>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利率水平：</w:t>
      </w:r>
    </w:p>
    <w:p w14:paraId="4ADBA1CE">
      <w:pPr>
        <w:pStyle w:val="13"/>
        <w:spacing w:line="360" w:lineRule="auto"/>
        <w:ind w:firstLine="421"/>
        <w:rPr>
          <w:rFonts w:hAnsi="宋体"/>
          <w:sz w:val="21"/>
          <w:szCs w:val="21"/>
          <w:highlight w:val="none"/>
        </w:rPr>
      </w:pPr>
      <w:r>
        <w:rPr>
          <w:rFonts w:hint="eastAsia" w:hAnsi="宋体"/>
          <w:sz w:val="21"/>
          <w:szCs w:val="21"/>
          <w:highlight w:val="none"/>
        </w:rPr>
        <w:t>①定期存款利率并符合国家利率政策规定。</w:t>
      </w:r>
    </w:p>
    <w:p w14:paraId="3CF14FAB">
      <w:pPr>
        <w:numPr>
          <w:ilvl w:val="0"/>
          <w:numId w:val="7"/>
        </w:numPr>
        <w:tabs>
          <w:tab w:val="left" w:pos="5911"/>
        </w:tabs>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贡献程度：</w:t>
      </w:r>
      <w:r>
        <w:rPr>
          <w:rFonts w:hint="eastAsia" w:ascii="宋体" w:hAnsi="宋体" w:cs="宋体"/>
          <w:b/>
          <w:color w:val="000000"/>
          <w:szCs w:val="21"/>
          <w:highlight w:val="none"/>
        </w:rPr>
        <w:tab/>
      </w:r>
    </w:p>
    <w:p w14:paraId="0572CA08">
      <w:pPr>
        <w:pStyle w:val="13"/>
        <w:spacing w:line="360" w:lineRule="auto"/>
        <w:ind w:firstLine="421"/>
        <w:rPr>
          <w:rFonts w:hAnsi="宋体"/>
          <w:sz w:val="21"/>
          <w:szCs w:val="21"/>
          <w:highlight w:val="none"/>
        </w:rPr>
      </w:pPr>
      <w:r>
        <w:rPr>
          <w:rFonts w:hint="eastAsia" w:hAnsi="宋体"/>
          <w:sz w:val="21"/>
          <w:szCs w:val="21"/>
          <w:highlight w:val="none"/>
        </w:rPr>
        <w:t>①资金存放银行对小微企业贡献；</w:t>
      </w:r>
    </w:p>
    <w:p w14:paraId="7DA2ED8F">
      <w:pPr>
        <w:pStyle w:val="7"/>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②资金存放银行对三农贡献；</w:t>
      </w:r>
    </w:p>
    <w:p w14:paraId="7C8CE960">
      <w:pPr>
        <w:pStyle w:val="7"/>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③资金存放银行对扶贫领域贷款贡献；</w:t>
      </w:r>
    </w:p>
    <w:p w14:paraId="1929754F">
      <w:pPr>
        <w:pStyle w:val="7"/>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④资金存放银行对购买地方政府债券支持经济发展贡献。</w:t>
      </w:r>
    </w:p>
    <w:p w14:paraId="44C69998">
      <w:pPr>
        <w:numPr>
          <w:ilvl w:val="0"/>
          <w:numId w:val="7"/>
        </w:numPr>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其他要求</w:t>
      </w:r>
    </w:p>
    <w:p w14:paraId="7B0281F3">
      <w:pPr>
        <w:spacing w:line="360" w:lineRule="auto"/>
        <w:ind w:firstLine="420" w:firstLineChars="200"/>
        <w:rPr>
          <w:szCs w:val="22"/>
        </w:rPr>
      </w:pPr>
      <w:r>
        <w:rPr>
          <w:rFonts w:hint="eastAsia"/>
          <w:szCs w:val="22"/>
        </w:rPr>
        <w:t>①中标人须为招标人采购专项维修资金系统管理平台，定期开展计、结息工作，使资金本金和利息核算到户、增值收益分摊到户、维修费用分摊到户，做到银行账款日清月结,保证维修资金管理安全、准确，实现维修资金管理规范化、精细化、专业化。服务期满后，此系统管理平台归招标人所有（含设备）。</w:t>
      </w:r>
    </w:p>
    <w:p w14:paraId="0E00916B">
      <w:pPr>
        <w:spacing w:line="360" w:lineRule="auto"/>
        <w:ind w:firstLine="420" w:firstLineChars="200"/>
        <w:rPr>
          <w:szCs w:val="22"/>
        </w:rPr>
      </w:pPr>
      <w:r>
        <w:rPr>
          <w:szCs w:val="22"/>
        </w:rPr>
        <w:t>②</w:t>
      </w:r>
      <w:r>
        <w:rPr>
          <w:rFonts w:hint="eastAsia"/>
          <w:szCs w:val="22"/>
        </w:rPr>
        <w:t>中标人需承担对维修资金信息系统的维护与支持，定期开展对系统软、硬件设备的升级、更新与维护，确保专户管理银行对系统维护的时时跟踪、技术支持。</w:t>
      </w:r>
    </w:p>
    <w:p w14:paraId="770A8157">
      <w:pPr>
        <w:spacing w:line="360" w:lineRule="auto"/>
        <w:ind w:firstLine="420" w:firstLineChars="200"/>
        <w:rPr>
          <w:szCs w:val="22"/>
        </w:rPr>
      </w:pPr>
      <w:r>
        <w:rPr>
          <w:szCs w:val="22"/>
        </w:rPr>
        <w:t>③</w:t>
      </w:r>
      <w:r>
        <w:rPr>
          <w:rFonts w:hint="eastAsia"/>
          <w:szCs w:val="22"/>
        </w:rPr>
        <w:t>中标人为招标人提供维修资金缴存、支用所需的办公设施、设备及日常维护费用，承担维修资金管理系统所需设备、软件（必须符合甲方业务需求）的购置费用，中标人须在签订合同之日起60日内，按招标人要求，建立维修资金管理系统。</w:t>
      </w:r>
    </w:p>
    <w:p w14:paraId="5FC5BA8D">
      <w:pPr>
        <w:spacing w:line="360" w:lineRule="auto"/>
        <w:ind w:firstLine="420" w:firstLineChars="200"/>
        <w:rPr>
          <w:rFonts w:hint="eastAsia" w:ascii="Times New Roman" w:hAnsi="Times New Roman" w:eastAsia="宋体" w:cs="Times New Roman"/>
          <w:szCs w:val="22"/>
          <w:lang w:eastAsia="zh-CN"/>
        </w:rPr>
      </w:pPr>
      <w:r>
        <w:rPr>
          <w:rFonts w:hint="eastAsia"/>
          <w:szCs w:val="22"/>
        </w:rPr>
        <w:t>④按照“统一归集、专户存储、专款专用、所有者决策、政府监督”的原则</w:t>
      </w:r>
      <w:r>
        <w:rPr>
          <w:rFonts w:hint="eastAsia"/>
          <w:szCs w:val="22"/>
          <w:lang w:eastAsia="zh-CN"/>
        </w:rPr>
        <w:t>，专户银行建立维修资金信息化管理系统，实行“分账到户、核算到户”，完善查询系统功能，保证业主知情权，</w:t>
      </w:r>
      <w:r>
        <w:rPr>
          <w:rFonts w:hint="eastAsia"/>
          <w:szCs w:val="22"/>
        </w:rPr>
        <w:t>系统设计遵循“银行</w:t>
      </w:r>
      <w:r>
        <w:rPr>
          <w:rFonts w:hint="eastAsia" w:ascii="Times New Roman" w:hAnsi="Times New Roman" w:eastAsia="宋体" w:cs="Times New Roman"/>
          <w:szCs w:val="22"/>
        </w:rPr>
        <w:t>管资金 房管管业务”的总体思路，平台必须符合</w:t>
      </w:r>
      <w:r>
        <w:rPr>
          <w:rFonts w:hint="eastAsia" w:ascii="Times New Roman" w:hAnsi="Times New Roman" w:eastAsia="宋体" w:cs="Times New Roman"/>
          <w:szCs w:val="22"/>
          <w:lang w:val="en-US" w:eastAsia="zh-CN"/>
        </w:rPr>
        <w:t>榆树</w:t>
      </w:r>
      <w:r>
        <w:rPr>
          <w:rFonts w:hint="eastAsia" w:ascii="Times New Roman" w:hAnsi="Times New Roman" w:eastAsia="宋体" w:cs="Times New Roman"/>
          <w:szCs w:val="22"/>
        </w:rPr>
        <w:t>市维修资金业务和技术对接等接口规范，满足省厅数据上报要求</w:t>
      </w:r>
      <w:r>
        <w:rPr>
          <w:rFonts w:hint="eastAsia" w:ascii="Times New Roman" w:hAnsi="Times New Roman" w:eastAsia="宋体" w:cs="Times New Roman"/>
          <w:szCs w:val="22"/>
          <w:lang w:eastAsia="zh-CN"/>
        </w:rPr>
        <w:t>。</w:t>
      </w:r>
    </w:p>
    <w:p w14:paraId="200455D6">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lang w:val="en-US" w:eastAsia="zh-CN"/>
        </w:rPr>
        <w:fldChar w:fldCharType="begin"/>
      </w:r>
      <w:r>
        <w:rPr>
          <w:rFonts w:hint="eastAsia" w:ascii="Times New Roman" w:hAnsi="Times New Roman" w:eastAsia="宋体" w:cs="Times New Roman"/>
          <w:szCs w:val="22"/>
          <w:lang w:val="en-US" w:eastAsia="zh-CN"/>
        </w:rPr>
        <w:instrText xml:space="preserve"> = 5 \* GB3 \* MERGEFORMAT </w:instrText>
      </w:r>
      <w:r>
        <w:rPr>
          <w:rFonts w:hint="eastAsia" w:ascii="Times New Roman" w:hAnsi="Times New Roman" w:eastAsia="宋体" w:cs="Times New Roman"/>
          <w:szCs w:val="22"/>
          <w:lang w:val="en-US" w:eastAsia="zh-CN"/>
        </w:rPr>
        <w:fldChar w:fldCharType="separate"/>
      </w:r>
      <w:r>
        <w:rPr>
          <w:rFonts w:hint="eastAsia" w:ascii="Times New Roman" w:hAnsi="Times New Roman" w:eastAsia="宋体" w:cs="Times New Roman"/>
          <w:szCs w:val="22"/>
        </w:rPr>
        <w:t>⑤</w:t>
      </w:r>
      <w:r>
        <w:rPr>
          <w:rFonts w:hint="eastAsia" w:ascii="Times New Roman" w:hAnsi="Times New Roman" w:eastAsia="宋体" w:cs="Times New Roman"/>
          <w:szCs w:val="22"/>
          <w:lang w:val="en-US" w:eastAsia="zh-CN"/>
        </w:rPr>
        <w:fldChar w:fldCharType="end"/>
      </w:r>
      <w:r>
        <w:rPr>
          <w:rFonts w:hint="eastAsia" w:ascii="Times New Roman" w:hAnsi="Times New Roman" w:eastAsia="宋体" w:cs="Times New Roman"/>
          <w:szCs w:val="22"/>
        </w:rPr>
        <w:t>管理部门应当结合银行资信状况、能够提供的资金收益水平、服务效率和质量、资金支取使用监管、为业主提供第三方服务等因素，建立专户管理银行考评退出机制，按年进行考核测评。对于考核测评不合格的专户管理银行，应当解除合同。</w:t>
      </w:r>
    </w:p>
    <w:p w14:paraId="49BAD512">
      <w:pPr>
        <w:spacing w:line="360" w:lineRule="auto"/>
        <w:ind w:firstLine="420" w:firstLineChars="200"/>
        <w:rPr>
          <w:szCs w:val="22"/>
          <w:highlight w:val="none"/>
        </w:rPr>
      </w:pPr>
      <w:r>
        <w:rPr>
          <w:rFonts w:hint="eastAsia"/>
          <w:szCs w:val="22"/>
          <w:highlight w:val="none"/>
        </w:rPr>
        <w:t>联网开发费用由中标银行承担。</w:t>
      </w:r>
    </w:p>
    <w:p w14:paraId="16FC8EE0">
      <w:pPr>
        <w:pStyle w:val="1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default"/>
          <w:lang w:val="en-US" w:eastAsia="zh-CN"/>
        </w:rPr>
      </w:pPr>
    </w:p>
    <w:p w14:paraId="039B147C">
      <w:pPr>
        <w:pStyle w:val="13"/>
        <w:rPr>
          <w:rFonts w:hint="default"/>
          <w:lang w:val="en-US" w:eastAsia="zh-CN"/>
        </w:rPr>
      </w:pPr>
    </w:p>
    <w:p w14:paraId="1009FAA3">
      <w:bookmarkStart w:id="1" w:name="_GoBack"/>
      <w:bookmarkEnd w:id="1"/>
    </w:p>
    <w:sectPr>
      <w:pgSz w:w="11906" w:h="16838"/>
      <w:pgMar w:top="1400" w:right="1678" w:bottom="1123" w:left="1701" w:header="0" w:footer="918" w:gutter="0"/>
      <w:pgNumType w:start="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7989E">
    <w:pPr>
      <w:spacing w:line="145" w:lineRule="exact"/>
      <w:ind w:firstLine="4846"/>
      <w:rPr>
        <w:rFonts w:ascii="宋体" w:hAnsi="宋体" w:eastAsia="宋体" w:cs="宋体"/>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2E8CA0">
                          <w:pPr>
                            <w:pStyle w:val="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0E2E8CA0">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0510C"/>
    <w:multiLevelType w:val="singleLevel"/>
    <w:tmpl w:val="A770510C"/>
    <w:lvl w:ilvl="0" w:tentative="0">
      <w:start w:val="1"/>
      <w:numFmt w:val="decimal"/>
      <w:lvlText w:val="%1."/>
      <w:lvlJc w:val="left"/>
      <w:pPr>
        <w:tabs>
          <w:tab w:val="left" w:pos="312"/>
        </w:tabs>
      </w:pPr>
    </w:lvl>
  </w:abstractNum>
  <w:abstractNum w:abstractNumId="1">
    <w:nsid w:val="F7A53BB9"/>
    <w:multiLevelType w:val="singleLevel"/>
    <w:tmpl w:val="F7A53BB9"/>
    <w:lvl w:ilvl="0" w:tentative="0">
      <w:start w:val="1"/>
      <w:numFmt w:val="decimal"/>
      <w:lvlText w:val="%1."/>
      <w:lvlJc w:val="left"/>
      <w:pPr>
        <w:tabs>
          <w:tab w:val="left" w:pos="312"/>
        </w:tabs>
      </w:pPr>
    </w:lvl>
  </w:abstractNum>
  <w:abstractNum w:abstractNumId="2">
    <w:nsid w:val="0053208E"/>
    <w:multiLevelType w:val="singleLevel"/>
    <w:tmpl w:val="0053208E"/>
    <w:lvl w:ilvl="0" w:tentative="0">
      <w:start w:val="4"/>
      <w:numFmt w:val="decimal"/>
      <w:suff w:val="nothing"/>
      <w:lvlText w:val="%1、"/>
      <w:lvlJc w:val="left"/>
    </w:lvl>
  </w:abstractNum>
  <w:abstractNum w:abstractNumId="3">
    <w:nsid w:val="2816744A"/>
    <w:multiLevelType w:val="singleLevel"/>
    <w:tmpl w:val="2816744A"/>
    <w:lvl w:ilvl="0" w:tentative="0">
      <w:start w:val="1"/>
      <w:numFmt w:val="decimal"/>
      <w:lvlText w:val="%1."/>
      <w:lvlJc w:val="left"/>
      <w:pPr>
        <w:tabs>
          <w:tab w:val="left" w:pos="312"/>
        </w:tabs>
      </w:pPr>
    </w:lvl>
  </w:abstractNum>
  <w:abstractNum w:abstractNumId="4">
    <w:nsid w:val="33210144"/>
    <w:multiLevelType w:val="singleLevel"/>
    <w:tmpl w:val="33210144"/>
    <w:lvl w:ilvl="0" w:tentative="0">
      <w:start w:val="1"/>
      <w:numFmt w:val="decimal"/>
      <w:lvlText w:val="%1."/>
      <w:lvlJc w:val="left"/>
      <w:pPr>
        <w:tabs>
          <w:tab w:val="left" w:pos="312"/>
        </w:tabs>
      </w:pPr>
    </w:lvl>
  </w:abstractNum>
  <w:abstractNum w:abstractNumId="5">
    <w:nsid w:val="357B6A19"/>
    <w:multiLevelType w:val="singleLevel"/>
    <w:tmpl w:val="357B6A19"/>
    <w:lvl w:ilvl="0" w:tentative="0">
      <w:start w:val="1"/>
      <w:numFmt w:val="decimal"/>
      <w:lvlText w:val="%1."/>
      <w:lvlJc w:val="left"/>
      <w:pPr>
        <w:tabs>
          <w:tab w:val="left" w:pos="312"/>
        </w:tabs>
      </w:pPr>
    </w:lvl>
  </w:abstractNum>
  <w:abstractNum w:abstractNumId="6">
    <w:nsid w:val="3638ECEB"/>
    <w:multiLevelType w:val="singleLevel"/>
    <w:tmpl w:val="3638ECEB"/>
    <w:lvl w:ilvl="0" w:tentative="0">
      <w:start w:val="1"/>
      <w:numFmt w:val="decimal"/>
      <w:lvlText w:val="%1."/>
      <w:lvlJc w:val="left"/>
      <w:pPr>
        <w:tabs>
          <w:tab w:val="left" w:pos="312"/>
        </w:tabs>
      </w:pPr>
    </w:lvl>
  </w:abstractNum>
  <w:num w:numId="1">
    <w:abstractNumId w:val="3"/>
  </w:num>
  <w:num w:numId="2">
    <w:abstractNumId w:val="0"/>
  </w:num>
  <w:num w:numId="3">
    <w:abstractNumId w:val="5"/>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MTg4OTRjNGVjNGVjYmYyZTRlNmRmZmExZGUyNTMifQ=="/>
  </w:docVars>
  <w:rsids>
    <w:rsidRoot w:val="14374E9F"/>
    <w:rsid w:val="14374E9F"/>
    <w:rsid w:val="402B4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5"/>
    <w:qFormat/>
    <w:uiPriority w:val="1"/>
    <w:pPr>
      <w:ind w:left="100" w:right="108"/>
      <w:outlineLvl w:val="1"/>
    </w:pPr>
    <w:rPr>
      <w:rFonts w:ascii="Microsoft JhengHei" w:hAnsi="Microsoft JhengHei" w:eastAsia="Microsoft JhengHei" w:cs="Microsoft JhengHei"/>
      <w:b/>
      <w:bCs/>
      <w:sz w:val="32"/>
      <w:szCs w:val="32"/>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rPr>
  </w:style>
  <w:style w:type="paragraph" w:styleId="4">
    <w:name w:val="Body Text Indent"/>
    <w:basedOn w:val="1"/>
    <w:next w:val="5"/>
    <w:qFormat/>
    <w:uiPriority w:val="0"/>
    <w:pPr>
      <w:tabs>
        <w:tab w:val="left" w:pos="0"/>
        <w:tab w:val="left" w:pos="540"/>
      </w:tabs>
      <w:ind w:firstLine="640" w:firstLineChars="200"/>
    </w:pPr>
    <w:rPr>
      <w:rFonts w:ascii="仿宋_GB2312" w:hAnsi="Times New Roman" w:eastAsia="仿宋_GB2312"/>
      <w:sz w:val="32"/>
      <w:szCs w:val="24"/>
    </w:rPr>
  </w:style>
  <w:style w:type="paragraph" w:styleId="5">
    <w:name w:val="envelope return"/>
    <w:basedOn w:val="1"/>
    <w:qFormat/>
    <w:uiPriority w:val="0"/>
    <w:pPr>
      <w:snapToGrid w:val="0"/>
    </w:pPr>
    <w:rPr>
      <w:rFonts w:ascii="Arial" w:hAnsi="Arial"/>
    </w:rPr>
  </w:style>
  <w:style w:type="paragraph" w:styleId="6">
    <w:name w:val="Plain Text"/>
    <w:basedOn w:val="1"/>
    <w:qFormat/>
    <w:uiPriority w:val="99"/>
    <w:rPr>
      <w:rFonts w:ascii="Courier New" w:hAnsi="Courier New"/>
      <w:szCs w:val="20"/>
    </w:rPr>
  </w:style>
  <w:style w:type="paragraph" w:styleId="7">
    <w:name w:val="Date"/>
    <w:basedOn w:val="1"/>
    <w:next w:val="1"/>
    <w:qFormat/>
    <w:uiPriority w:val="0"/>
    <w:rPr>
      <w:rFonts w:ascii="Calibri" w:hAnsi="Calibri" w:eastAsia="微软雅黑"/>
      <w:sz w:val="24"/>
    </w:rPr>
  </w:style>
  <w:style w:type="paragraph" w:styleId="8">
    <w:name w:val="footer"/>
    <w:basedOn w:val="1"/>
    <w:qFormat/>
    <w:uiPriority w:val="0"/>
    <w:pPr>
      <w:tabs>
        <w:tab w:val="center" w:pos="4153"/>
        <w:tab w:val="right" w:pos="8306"/>
      </w:tabs>
    </w:pPr>
    <w:rPr>
      <w:sz w:val="18"/>
      <w:szCs w:val="18"/>
    </w:rPr>
  </w:style>
  <w:style w:type="paragraph" w:styleId="9">
    <w:name w:val="Body Text First Indent 2"/>
    <w:basedOn w:val="4"/>
    <w:next w:val="1"/>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next w:val="1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大标题"/>
    <w:basedOn w:val="1"/>
    <w:next w:val="9"/>
    <w:qFormat/>
    <w:uiPriority w:val="0"/>
    <w:pPr>
      <w:jc w:val="center"/>
    </w:pPr>
    <w:rPr>
      <w:rFonts w:ascii="Arial" w:hAnsi="Arial"/>
      <w:sz w:val="28"/>
      <w:szCs w:val="24"/>
    </w:rPr>
  </w:style>
  <w:style w:type="character" w:customStyle="1" w:styleId="15">
    <w:name w:val="标题 2 Char"/>
    <w:link w:val="2"/>
    <w:qFormat/>
    <w:uiPriority w:val="0"/>
    <w:rPr>
      <w:rFonts w:ascii="Microsoft JhengHei" w:hAnsi="Microsoft JhengHei" w:eastAsia="Microsoft JhengHei" w:cs="Microsoft JhengHei"/>
      <w:b/>
      <w:bCs/>
      <w:sz w:val="32"/>
      <w:szCs w:val="32"/>
    </w:rPr>
  </w:style>
  <w:style w:type="character" w:customStyle="1" w:styleId="16">
    <w:name w:val="font51"/>
    <w:basedOn w:val="12"/>
    <w:qFormat/>
    <w:uiPriority w:val="0"/>
    <w:rPr>
      <w:rFonts w:hint="eastAsia" w:ascii="宋体" w:hAnsi="宋体" w:eastAsia="宋体" w:cs="宋体"/>
      <w:color w:val="000000"/>
      <w:sz w:val="22"/>
      <w:szCs w:val="22"/>
      <w:u w:val="none"/>
    </w:rPr>
  </w:style>
  <w:style w:type="paragraph" w:customStyle="1" w:styleId="17">
    <w:name w:val="Normal_0_1"/>
    <w:qFormat/>
    <w:uiPriority w:val="0"/>
    <w:rPr>
      <w:rFonts w:ascii="Times New Roman" w:hAnsi="Times New Roman" w:eastAsia="Times New Roman" w:cs="Times New Roman"/>
      <w:sz w:val="24"/>
      <w:szCs w:val="24"/>
    </w:rPr>
  </w:style>
  <w:style w:type="paragraph" w:customStyle="1" w:styleId="18">
    <w:name w:val="Body text|1"/>
    <w:basedOn w:val="1"/>
    <w:qFormat/>
    <w:uiPriority w:val="0"/>
    <w:pPr>
      <w:widowControl w:val="0"/>
      <w:shd w:val="clear" w:color="auto" w:fill="auto"/>
      <w:spacing w:line="446" w:lineRule="auto"/>
      <w:ind w:firstLine="26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2025-08-13T00:20:00Z</dcterms:created>
  <dc:creator>玓</dc:creator>
  <cp:lastModifiedBy>玓</cp:lastModifiedBy>
  <dcterms:modified xsi:type="dcterms:W3CDTF">2025-08-13T00:20:48Z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0B7DF6C7F37242C492A630957F88AE7A_11</vt:lpwstr>
  </property>
</Properties>
</file>